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44"/>
          <w:szCs w:val="44"/>
          <w:lang w:val="en-US" w:eastAsia="zh-CN"/>
        </w:rPr>
      </w:pPr>
      <w:r>
        <w:rPr>
          <w:rFonts w:hint="eastAsia"/>
          <w:sz w:val="44"/>
          <w:szCs w:val="44"/>
          <w:lang w:val="en-US" w:eastAsia="zh-CN"/>
        </w:rPr>
        <w:t>信息技术</w:t>
      </w:r>
      <w:r>
        <w:rPr>
          <w:rFonts w:hint="default"/>
          <w:sz w:val="44"/>
          <w:szCs w:val="44"/>
          <w:lang w:val="en-US" w:eastAsia="zh-CN"/>
        </w:rPr>
        <w:t>学院专业优化调整工作方案</w:t>
      </w:r>
    </w:p>
    <w:p>
      <w:pPr>
        <w:jc w:val="center"/>
        <w:rPr>
          <w:rFonts w:hint="default"/>
          <w:sz w:val="28"/>
          <w:szCs w:val="28"/>
          <w:lang w:val="en-US" w:eastAsia="zh-CN"/>
        </w:rPr>
      </w:pPr>
    </w:p>
    <w:p>
      <w:pPr>
        <w:ind w:firstLine="560" w:firstLineChars="200"/>
        <w:jc w:val="both"/>
        <w:rPr>
          <w:rFonts w:hint="eastAsia"/>
          <w:sz w:val="28"/>
          <w:szCs w:val="28"/>
          <w:lang w:val="en-US" w:eastAsia="zh-CN"/>
        </w:rPr>
      </w:pPr>
      <w:r>
        <w:rPr>
          <w:rFonts w:hint="eastAsia"/>
          <w:sz w:val="28"/>
          <w:szCs w:val="28"/>
          <w:lang w:val="en-US" w:eastAsia="zh-CN"/>
        </w:rPr>
        <w:t>根据内蒙古自治区教育厅《关于做好高校专业优化调整工作的通知》要求，以《内蒙古自治区党委关于制定国民经济和社会发展第十四个五年规划和二0三五远景目标的建议》、《内蒙古自治区“十四五”工业和信息化发展规划》、《中共赤峰市委关于制定国民经济和社会发展第十四个五年规划和二0三五远景目标的建议》等文件为依据，信息技术学院以专业建设为核心，开展专业优化调整工作，从而更好地为</w:t>
      </w:r>
      <w:r>
        <w:rPr>
          <w:rFonts w:hint="eastAsia"/>
          <w:color w:val="auto"/>
          <w:sz w:val="28"/>
          <w:szCs w:val="28"/>
          <w:lang w:val="en-US" w:eastAsia="zh-CN"/>
        </w:rPr>
        <w:t>赤峰地区</w:t>
      </w:r>
      <w:r>
        <w:rPr>
          <w:rFonts w:hint="eastAsia"/>
          <w:sz w:val="28"/>
          <w:szCs w:val="28"/>
          <w:lang w:val="en-US" w:eastAsia="zh-CN"/>
        </w:rPr>
        <w:t>经济社会发展服务。为保证这项工作扎实、有效地进行，特制定如下工作方案：</w:t>
      </w:r>
    </w:p>
    <w:p>
      <w:pPr>
        <w:numPr>
          <w:ilvl w:val="0"/>
          <w:numId w:val="2"/>
        </w:numPr>
        <w:ind w:left="560" w:leftChars="0" w:firstLine="0" w:firstLineChars="0"/>
        <w:jc w:val="both"/>
        <w:rPr>
          <w:rFonts w:hint="eastAsia"/>
          <w:sz w:val="28"/>
          <w:szCs w:val="28"/>
          <w:lang w:val="en-US" w:eastAsia="zh-CN"/>
        </w:rPr>
      </w:pPr>
      <w:r>
        <w:rPr>
          <w:rFonts w:hint="eastAsia"/>
          <w:sz w:val="28"/>
          <w:szCs w:val="28"/>
          <w:lang w:val="en-US" w:eastAsia="zh-CN"/>
        </w:rPr>
        <w:t>指导思想</w:t>
      </w:r>
    </w:p>
    <w:p>
      <w:pPr>
        <w:ind w:firstLine="560" w:firstLineChars="200"/>
        <w:jc w:val="both"/>
        <w:rPr>
          <w:rFonts w:hint="eastAsia"/>
          <w:sz w:val="28"/>
          <w:szCs w:val="28"/>
          <w:lang w:val="en-US" w:eastAsia="zh-CN"/>
        </w:rPr>
      </w:pPr>
      <w:r>
        <w:rPr>
          <w:rFonts w:hint="eastAsia"/>
          <w:sz w:val="28"/>
          <w:szCs w:val="28"/>
          <w:lang w:val="en-US" w:eastAsia="zh-CN"/>
        </w:rPr>
        <w:t>以习近平新时代中国特色社会主义思想为指导，以培养高素质应用型人才为目标，全面贯彻党的教育方针，以主动适应经济社会发展和产业转型升级为导向，以更好地满足人民群众接受优质职业教育的需求为目标，深化教育教学改革，优化人才培养结构，加强专业内涵建设，注重专业协调发展，彰显学院办学特色，不断提高人才培养质量，提升学院核心竞争力，促进学院可持续发展。</w:t>
      </w:r>
    </w:p>
    <w:p>
      <w:pPr>
        <w:numPr>
          <w:ilvl w:val="0"/>
          <w:numId w:val="2"/>
        </w:numPr>
        <w:ind w:left="560" w:leftChars="0" w:firstLine="0" w:firstLineChars="0"/>
        <w:jc w:val="both"/>
        <w:rPr>
          <w:rFonts w:hint="eastAsia"/>
          <w:sz w:val="28"/>
          <w:szCs w:val="28"/>
          <w:lang w:val="en-US" w:eastAsia="zh-CN"/>
        </w:rPr>
      </w:pPr>
      <w:r>
        <w:rPr>
          <w:rFonts w:hint="default"/>
          <w:sz w:val="28"/>
          <w:szCs w:val="28"/>
          <w:lang w:val="en-US" w:eastAsia="zh-CN"/>
        </w:rPr>
        <w:t>专业优化调整工作</w:t>
      </w:r>
      <w:r>
        <w:rPr>
          <w:rFonts w:hint="eastAsia"/>
          <w:sz w:val="28"/>
          <w:szCs w:val="28"/>
          <w:lang w:val="en-US" w:eastAsia="zh-CN"/>
        </w:rPr>
        <w:t>目标</w:t>
      </w:r>
    </w:p>
    <w:p>
      <w:pPr>
        <w:ind w:firstLine="560" w:firstLineChars="200"/>
        <w:jc w:val="both"/>
        <w:rPr>
          <w:rFonts w:hint="default"/>
          <w:sz w:val="28"/>
          <w:szCs w:val="28"/>
          <w:lang w:val="en-US" w:eastAsia="zh-CN"/>
        </w:rPr>
      </w:pPr>
      <w:r>
        <w:rPr>
          <w:rFonts w:hint="eastAsia"/>
          <w:sz w:val="28"/>
          <w:szCs w:val="28"/>
          <w:lang w:val="en-US" w:eastAsia="zh-CN"/>
        </w:rPr>
        <w:t xml:space="preserve"> 紧密结合信息产业的发展需求，以服务为宗旨、以就业为导向，建立设置合理、结构优化、特色鲜明的专业群体系结构。通过优化和调整使各专业在办学条件、师资队伍、专业培养模式、教学内容和课程体系、教学方法、教学质量、校企合作等方面形成明显的优势和特色，促进各专业优质高效协同发展。努力将信息技术学院建设成规模适度、结构合理、特色鲜明、质量优异的人才成长摇篮。</w:t>
      </w:r>
    </w:p>
    <w:p>
      <w:pPr>
        <w:numPr>
          <w:ilvl w:val="0"/>
          <w:numId w:val="2"/>
        </w:numPr>
        <w:ind w:left="560" w:leftChars="0" w:firstLine="0" w:firstLineChars="0"/>
        <w:jc w:val="both"/>
        <w:rPr>
          <w:rFonts w:hint="eastAsia"/>
          <w:sz w:val="28"/>
          <w:szCs w:val="28"/>
          <w:lang w:val="en-US" w:eastAsia="zh-CN"/>
        </w:rPr>
      </w:pPr>
      <w:r>
        <w:rPr>
          <w:rFonts w:hint="eastAsia"/>
          <w:sz w:val="28"/>
          <w:szCs w:val="28"/>
          <w:lang w:val="en-US" w:eastAsia="zh-CN"/>
        </w:rPr>
        <w:t>信息技术学院专业现状</w:t>
      </w:r>
    </w:p>
    <w:p>
      <w:pPr>
        <w:ind w:firstLine="560" w:firstLineChars="200"/>
        <w:rPr>
          <w:rFonts w:hint="eastAsia"/>
          <w:sz w:val="28"/>
          <w:szCs w:val="28"/>
          <w:lang w:val="en-US" w:eastAsia="zh-CN"/>
        </w:rPr>
      </w:pPr>
      <w:r>
        <w:rPr>
          <w:rFonts w:hint="eastAsia"/>
          <w:sz w:val="28"/>
          <w:szCs w:val="28"/>
          <w:lang w:val="en-US" w:eastAsia="zh-CN"/>
        </w:rPr>
        <w:t>信息技术专业群以软件技术专业为龙头，辐射带动大数据技术、物联网应用技术、数字媒体技术等在内的专业群建设。探以面向软件产业为主，面向其他新一代信息技术子产业为辅，服务于国家发展新一代信息技术产业战略和赤峰市</w:t>
      </w:r>
      <w:r>
        <w:rPr>
          <w:sz w:val="28"/>
          <w:szCs w:val="28"/>
        </w:rPr>
        <w:t>加快发展数字经济，以“数字赤峰”建设为核心，推进产业数字化转型，强化数字化赋能，打造数字经济发展新高地，为工业经济高质量发展提供有力支撑</w:t>
      </w:r>
      <w:r>
        <w:rPr>
          <w:rFonts w:hint="eastAsia"/>
          <w:sz w:val="28"/>
          <w:szCs w:val="28"/>
          <w:lang w:val="en-US" w:eastAsia="zh-CN"/>
        </w:rPr>
        <w:t>战略。</w:t>
      </w:r>
    </w:p>
    <w:p>
      <w:pPr>
        <w:numPr>
          <w:ilvl w:val="0"/>
          <w:numId w:val="0"/>
        </w:numPr>
        <w:jc w:val="both"/>
        <w:rPr>
          <w:rFonts w:hint="eastAsia"/>
          <w:sz w:val="28"/>
          <w:szCs w:val="28"/>
          <w:lang w:val="en-US" w:eastAsia="zh-CN"/>
        </w:rPr>
      </w:pPr>
      <w:r>
        <w:drawing>
          <wp:inline distT="0" distB="0" distL="114300" distR="114300">
            <wp:extent cx="5272405" cy="3623945"/>
            <wp:effectExtent l="0" t="0" r="10795" b="825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5272405" cy="3623945"/>
                    </a:xfrm>
                    <a:prstGeom prst="rect">
                      <a:avLst/>
                    </a:prstGeom>
                    <a:noFill/>
                    <a:ln>
                      <a:noFill/>
                    </a:ln>
                  </pic:spPr>
                </pic:pic>
              </a:graphicData>
            </a:graphic>
          </wp:inline>
        </w:drawing>
      </w:r>
    </w:p>
    <w:p>
      <w:pPr>
        <w:numPr>
          <w:ilvl w:val="0"/>
          <w:numId w:val="3"/>
        </w:numPr>
        <w:ind w:firstLine="560" w:firstLineChars="200"/>
        <w:rPr>
          <w:rFonts w:hint="default"/>
          <w:sz w:val="28"/>
          <w:szCs w:val="28"/>
          <w:lang w:val="en-US" w:eastAsia="zh-CN"/>
        </w:rPr>
      </w:pPr>
      <w:r>
        <w:rPr>
          <w:rFonts w:hint="eastAsia"/>
          <w:sz w:val="28"/>
          <w:szCs w:val="28"/>
          <w:lang w:val="en-US" w:eastAsia="zh-CN"/>
        </w:rPr>
        <w:t>软件技术专业</w:t>
      </w:r>
    </w:p>
    <w:p>
      <w:pPr>
        <w:ind w:firstLine="560" w:firstLineChars="200"/>
        <w:rPr>
          <w:rFonts w:hint="eastAsia" w:cs="Times New Roman"/>
          <w:sz w:val="28"/>
          <w:szCs w:val="28"/>
          <w:lang w:val="en-US" w:eastAsia="zh-CN"/>
        </w:rPr>
      </w:pPr>
      <w:r>
        <w:rPr>
          <w:rFonts w:hint="eastAsia"/>
          <w:sz w:val="28"/>
          <w:szCs w:val="28"/>
          <w:lang w:val="en-US" w:eastAsia="zh-CN"/>
        </w:rPr>
        <w:t>软件技术专业创建于2017年，该专业</w:t>
      </w:r>
      <w:r>
        <w:rPr>
          <w:rFonts w:hint="eastAsia" w:cs="Times New Roman"/>
          <w:sz w:val="28"/>
          <w:szCs w:val="28"/>
          <w:lang w:val="en-US" w:eastAsia="zh-CN"/>
        </w:rPr>
        <w:t>面向软件和信息技术服务行业，培养能够从事Web前端页面设计开发、后台程序框架搭建、数据库构建与管理、前后端数据交互、以及相关软件的测试、维护、营销和生产管理等工作的高素质复合型技术技能人才。</w:t>
      </w:r>
    </w:p>
    <w:p>
      <w:pPr>
        <w:ind w:firstLine="560" w:firstLineChars="200"/>
        <w:rPr>
          <w:rFonts w:hint="default"/>
          <w:sz w:val="28"/>
          <w:szCs w:val="28"/>
          <w:lang w:val="en-US" w:eastAsia="zh-CN"/>
        </w:rPr>
      </w:pPr>
      <w:r>
        <w:rPr>
          <w:rFonts w:hint="eastAsia"/>
          <w:sz w:val="28"/>
          <w:szCs w:val="28"/>
          <w:lang w:val="en-US" w:eastAsia="zh-CN"/>
        </w:rPr>
        <w:t>骨干课程包括JAVA面向对象编程，HTML5/CSS3/JavaScript网页交互设计，JSP/Servlet动态网页开发技术，MySql数据库设计与应用，SSM应用开发框架，Spring Boot开发实战，Linux操作系统等。</w:t>
      </w:r>
    </w:p>
    <w:p>
      <w:pPr>
        <w:ind w:firstLine="560" w:firstLineChars="200"/>
        <w:rPr>
          <w:rFonts w:hint="eastAsia" w:cs="Times New Roman"/>
          <w:sz w:val="28"/>
          <w:szCs w:val="28"/>
          <w:lang w:val="en-US" w:eastAsia="zh-CN"/>
        </w:rPr>
      </w:pPr>
      <w:r>
        <w:rPr>
          <w:rFonts w:hint="eastAsia" w:cs="Times New Roman"/>
          <w:sz w:val="28"/>
          <w:szCs w:val="28"/>
          <w:lang w:val="en-US" w:eastAsia="zh-CN"/>
        </w:rPr>
        <w:t>该专业目前在校人数155人。2020年毕业生共90人。就业率100%，其中从事本专业工作的占38.88%。主要工作岗位包括Web前端开发、软件测试、数据库设计与管理、网站美工、软件技术支持等。2021年毕业生共102人，就业率81.37%%，从事本专业工作的占 49.02%。新增就业岗位有移动UI设计、业务需求分析。</w:t>
      </w:r>
    </w:p>
    <w:p>
      <w:pPr>
        <w:ind w:firstLine="560" w:firstLineChars="200"/>
        <w:rPr>
          <w:rFonts w:hint="eastAsia" w:cs="Times New Roman"/>
          <w:sz w:val="28"/>
          <w:szCs w:val="28"/>
          <w:lang w:val="en-US" w:eastAsia="zh-CN"/>
        </w:rPr>
      </w:pPr>
      <w:r>
        <w:rPr>
          <w:rFonts w:hint="default" w:cs="Times New Roman"/>
          <w:sz w:val="28"/>
          <w:szCs w:val="28"/>
          <w:lang w:val="en-US" w:eastAsia="zh-CN"/>
        </w:rPr>
        <w:t>本专业共有任课教师1</w:t>
      </w:r>
      <w:r>
        <w:rPr>
          <w:rFonts w:hint="eastAsia" w:cs="Times New Roman"/>
          <w:sz w:val="28"/>
          <w:szCs w:val="28"/>
          <w:lang w:val="en-US" w:eastAsia="zh-CN"/>
        </w:rPr>
        <w:t>4</w:t>
      </w:r>
      <w:r>
        <w:rPr>
          <w:rFonts w:hint="default" w:cs="Times New Roman"/>
          <w:sz w:val="28"/>
          <w:szCs w:val="28"/>
          <w:lang w:val="en-US" w:eastAsia="zh-CN"/>
        </w:rPr>
        <w:t>人，占信息技术学院全部任课教师的32.56%</w:t>
      </w:r>
      <w:r>
        <w:rPr>
          <w:rFonts w:hint="eastAsia" w:cs="Times New Roman"/>
          <w:sz w:val="28"/>
          <w:szCs w:val="28"/>
          <w:lang w:val="en-US" w:eastAsia="zh-CN"/>
        </w:rPr>
        <w:t>。其中双师型教师12名，高级职称6人，中级职称6人，初级职称2人。</w:t>
      </w:r>
    </w:p>
    <w:p>
      <w:pPr>
        <w:ind w:firstLine="560" w:firstLineChars="200"/>
        <w:rPr>
          <w:rFonts w:hint="default" w:cs="Times New Roman"/>
          <w:sz w:val="28"/>
          <w:szCs w:val="28"/>
          <w:lang w:val="en-US" w:eastAsia="zh-CN"/>
        </w:rPr>
      </w:pPr>
      <w:r>
        <w:rPr>
          <w:rFonts w:hint="eastAsia" w:cs="Times New Roman"/>
          <w:sz w:val="28"/>
          <w:szCs w:val="28"/>
          <w:lang w:val="en-US" w:eastAsia="zh-CN"/>
        </w:rPr>
        <w:t>拥有校内机房1个，</w:t>
      </w:r>
      <w:r>
        <w:rPr>
          <w:rFonts w:hint="default" w:cs="Times New Roman"/>
          <w:sz w:val="28"/>
          <w:szCs w:val="28"/>
          <w:lang w:val="en-US" w:eastAsia="zh-CN"/>
        </w:rPr>
        <w:t>与赤峰·中关村信息谷科技创新基地及赤峰市安快数字创意有限公司建立长期校企合作关系。选择这两家企业作</w:t>
      </w:r>
      <w:r>
        <w:rPr>
          <w:rFonts w:hint="eastAsia" w:cs="Times New Roman"/>
          <w:sz w:val="28"/>
          <w:szCs w:val="28"/>
          <w:lang w:val="en-US" w:eastAsia="zh-CN"/>
        </w:rPr>
        <w:t>为</w:t>
      </w:r>
      <w:r>
        <w:rPr>
          <w:rFonts w:hint="default" w:cs="Times New Roman"/>
          <w:sz w:val="28"/>
          <w:szCs w:val="28"/>
          <w:lang w:val="en-US" w:eastAsia="zh-CN"/>
        </w:rPr>
        <w:t>教师企业实践基地及学生实习实训基地。</w:t>
      </w:r>
    </w:p>
    <w:p>
      <w:pPr>
        <w:numPr>
          <w:ilvl w:val="0"/>
          <w:numId w:val="3"/>
        </w:numPr>
        <w:ind w:firstLine="560" w:firstLineChars="200"/>
        <w:rPr>
          <w:rFonts w:hint="default" w:cs="Times New Roman"/>
          <w:sz w:val="28"/>
          <w:szCs w:val="28"/>
          <w:lang w:val="en-US" w:eastAsia="zh-CN"/>
        </w:rPr>
      </w:pPr>
      <w:r>
        <w:rPr>
          <w:rFonts w:hint="eastAsia" w:cs="Times New Roman"/>
          <w:sz w:val="28"/>
          <w:szCs w:val="28"/>
          <w:lang w:val="en-US" w:eastAsia="zh-CN"/>
        </w:rPr>
        <w:t xml:space="preserve"> </w:t>
      </w:r>
      <w:r>
        <w:rPr>
          <w:rFonts w:hint="eastAsia"/>
          <w:sz w:val="28"/>
          <w:szCs w:val="28"/>
          <w:lang w:val="en-US" w:eastAsia="zh-CN"/>
        </w:rPr>
        <w:t>大数据技术专业</w:t>
      </w:r>
    </w:p>
    <w:p>
      <w:pPr>
        <w:ind w:firstLine="560" w:firstLineChars="200"/>
        <w:rPr>
          <w:rFonts w:hint="default" w:cs="Times New Roman"/>
          <w:sz w:val="28"/>
          <w:szCs w:val="28"/>
          <w:lang w:val="en-US" w:eastAsia="zh-CN"/>
        </w:rPr>
      </w:pPr>
      <w:r>
        <w:rPr>
          <w:rFonts w:hint="eastAsia"/>
          <w:sz w:val="28"/>
          <w:szCs w:val="28"/>
          <w:lang w:val="en-US" w:eastAsia="zh-CN"/>
        </w:rPr>
        <w:t>大数据技术专业创建于2018年，该专业</w:t>
      </w:r>
      <w:r>
        <w:rPr>
          <w:rFonts w:hint="eastAsia" w:cs="Times New Roman"/>
          <w:sz w:val="28"/>
          <w:szCs w:val="28"/>
          <w:lang w:val="en-US" w:eastAsia="zh-CN"/>
        </w:rPr>
        <w:t>面向大数据应用领域，培养</w:t>
      </w:r>
      <w:r>
        <w:rPr>
          <w:rFonts w:hint="default" w:cs="Times New Roman"/>
          <w:sz w:val="28"/>
          <w:szCs w:val="28"/>
          <w:lang w:val="en-US" w:eastAsia="zh-CN"/>
        </w:rPr>
        <w:t>熟悉国家信息产业的政策和法规，具备计算机软件、计算机网络基础理论和大数据技术相关专业知识，</w:t>
      </w:r>
      <w:r>
        <w:rPr>
          <w:rFonts w:hint="eastAsia" w:cs="Times New Roman"/>
          <w:sz w:val="28"/>
          <w:szCs w:val="28"/>
          <w:lang w:val="en-US" w:eastAsia="zh-CN"/>
        </w:rPr>
        <w:t>能够从事大数据平台及组件的部署与维护、多维度数据采集与存储、数据清洗、数据可视化等工作的</w:t>
      </w:r>
      <w:r>
        <w:rPr>
          <w:rFonts w:hint="default" w:cs="Times New Roman"/>
          <w:sz w:val="28"/>
          <w:szCs w:val="28"/>
          <w:lang w:val="en-US" w:eastAsia="zh-CN"/>
        </w:rPr>
        <w:t>高级应用型技术与管理人才。</w:t>
      </w:r>
    </w:p>
    <w:p>
      <w:pPr>
        <w:ind w:firstLine="560" w:firstLineChars="200"/>
        <w:rPr>
          <w:rFonts w:hint="eastAsia" w:cs="Times New Roman"/>
          <w:sz w:val="28"/>
          <w:szCs w:val="28"/>
          <w:lang w:val="en-US" w:eastAsia="zh-CN"/>
        </w:rPr>
      </w:pPr>
      <w:r>
        <w:rPr>
          <w:rFonts w:hint="eastAsia" w:cs="Times New Roman"/>
          <w:sz w:val="28"/>
          <w:szCs w:val="28"/>
          <w:lang w:val="en-US" w:eastAsia="zh-CN"/>
        </w:rPr>
        <w:t>骨干课程包括：</w:t>
      </w:r>
      <w:r>
        <w:rPr>
          <w:rFonts w:hint="default" w:cs="Times New Roman"/>
          <w:sz w:val="28"/>
          <w:szCs w:val="28"/>
          <w:lang w:val="en-US" w:eastAsia="zh-CN"/>
        </w:rPr>
        <w:t>hardoop平台搭建与维护、大数据预处理技术及应用、python 语言与数据爬取，大数据可视化技术及综合应用</w:t>
      </w:r>
      <w:r>
        <w:rPr>
          <w:rFonts w:hint="eastAsia" w:cs="Times New Roman"/>
          <w:sz w:val="28"/>
          <w:szCs w:val="28"/>
          <w:lang w:val="en-US" w:eastAsia="zh-CN"/>
        </w:rPr>
        <w:t>等。</w:t>
      </w:r>
    </w:p>
    <w:p>
      <w:pPr>
        <w:ind w:firstLine="560" w:firstLineChars="200"/>
        <w:rPr>
          <w:rFonts w:hint="default" w:cs="Times New Roman"/>
          <w:sz w:val="28"/>
          <w:szCs w:val="28"/>
          <w:lang w:val="en-US" w:eastAsia="zh-CN"/>
        </w:rPr>
      </w:pPr>
      <w:r>
        <w:rPr>
          <w:rFonts w:hint="eastAsia" w:cs="Times New Roman"/>
          <w:sz w:val="28"/>
          <w:szCs w:val="28"/>
          <w:lang w:val="en-US" w:eastAsia="zh-CN"/>
        </w:rPr>
        <w:t>该专业目前在校人数98人。2021年毕业生共25人。就业率100%，其中从事本专业工作的占44%。主要工作岗位包括数据运维、数据可视化、大数据相关软件销售等。</w:t>
      </w:r>
    </w:p>
    <w:p>
      <w:pPr>
        <w:ind w:firstLine="560" w:firstLineChars="200"/>
        <w:rPr>
          <w:rFonts w:hint="eastAsia" w:cs="Times New Roman"/>
          <w:sz w:val="28"/>
          <w:szCs w:val="28"/>
          <w:lang w:val="en-US" w:eastAsia="zh-CN"/>
        </w:rPr>
      </w:pPr>
      <w:r>
        <w:rPr>
          <w:rFonts w:hint="default" w:cs="Times New Roman"/>
          <w:sz w:val="28"/>
          <w:szCs w:val="28"/>
          <w:lang w:val="en-US" w:eastAsia="zh-CN"/>
        </w:rPr>
        <w:t>本专业共有任课教师1</w:t>
      </w:r>
      <w:r>
        <w:rPr>
          <w:rFonts w:hint="eastAsia" w:cs="Times New Roman"/>
          <w:sz w:val="28"/>
          <w:szCs w:val="28"/>
          <w:lang w:val="en-US" w:eastAsia="zh-CN"/>
        </w:rPr>
        <w:t>5</w:t>
      </w:r>
      <w:r>
        <w:rPr>
          <w:rFonts w:hint="default" w:cs="Times New Roman"/>
          <w:sz w:val="28"/>
          <w:szCs w:val="28"/>
          <w:lang w:val="en-US" w:eastAsia="zh-CN"/>
        </w:rPr>
        <w:t>人，占信息技术学院全部任课教师的34.88%</w:t>
      </w:r>
      <w:r>
        <w:rPr>
          <w:rFonts w:hint="eastAsia" w:cs="Times New Roman"/>
          <w:sz w:val="28"/>
          <w:szCs w:val="28"/>
          <w:lang w:val="en-US" w:eastAsia="zh-CN"/>
        </w:rPr>
        <w:t>。其中双师型教师13名，高级职称6人，中级职称6人，初级职称3人。</w:t>
      </w:r>
    </w:p>
    <w:p>
      <w:pPr>
        <w:ind w:firstLine="560" w:firstLineChars="200"/>
        <w:rPr>
          <w:rFonts w:hint="default"/>
          <w:sz w:val="28"/>
          <w:szCs w:val="28"/>
          <w:lang w:val="en-US" w:eastAsia="zh-CN"/>
        </w:rPr>
      </w:pPr>
      <w:r>
        <w:rPr>
          <w:rFonts w:hint="eastAsia" w:cs="Times New Roman"/>
          <w:sz w:val="28"/>
          <w:szCs w:val="28"/>
          <w:lang w:val="en-US" w:eastAsia="zh-CN"/>
        </w:rPr>
        <w:t>与软件技术共同使用1个校内机房，</w:t>
      </w:r>
      <w:r>
        <w:rPr>
          <w:rFonts w:hint="default" w:cs="Times New Roman"/>
          <w:sz w:val="28"/>
          <w:szCs w:val="28"/>
          <w:lang w:val="en-US" w:eastAsia="zh-CN"/>
        </w:rPr>
        <w:t>与赤峰·中关村信息谷科技创新基地及赤峰市安快数字创意有限公司建立长期校企合作关系。</w:t>
      </w:r>
      <w:r>
        <w:rPr>
          <w:rFonts w:hint="eastAsia" w:cs="Times New Roman"/>
          <w:sz w:val="28"/>
          <w:szCs w:val="28"/>
          <w:lang w:val="en-US" w:eastAsia="zh-CN"/>
        </w:rPr>
        <w:t xml:space="preserve"> </w:t>
      </w:r>
    </w:p>
    <w:p>
      <w:pPr>
        <w:numPr>
          <w:ilvl w:val="0"/>
          <w:numId w:val="2"/>
        </w:numPr>
        <w:ind w:left="560" w:leftChars="0" w:firstLine="0" w:firstLineChars="0"/>
        <w:jc w:val="both"/>
        <w:rPr>
          <w:rFonts w:hint="eastAsia"/>
          <w:sz w:val="28"/>
          <w:szCs w:val="28"/>
          <w:lang w:val="en-US" w:eastAsia="zh-CN"/>
        </w:rPr>
      </w:pPr>
      <w:r>
        <w:rPr>
          <w:rFonts w:hint="eastAsia"/>
          <w:sz w:val="28"/>
          <w:szCs w:val="28"/>
          <w:lang w:val="en-US" w:eastAsia="zh-CN"/>
        </w:rPr>
        <w:t>专业发展规划</w:t>
      </w:r>
    </w:p>
    <w:p>
      <w:pPr>
        <w:numPr>
          <w:ilvl w:val="0"/>
          <w:numId w:val="4"/>
        </w:numPr>
        <w:ind w:left="560" w:leftChars="0"/>
        <w:jc w:val="both"/>
        <w:rPr>
          <w:rFonts w:hint="eastAsia"/>
          <w:sz w:val="28"/>
          <w:szCs w:val="28"/>
          <w:lang w:val="en-US" w:eastAsia="zh-CN"/>
        </w:rPr>
      </w:pPr>
      <w:r>
        <w:rPr>
          <w:rFonts w:hint="eastAsia"/>
          <w:sz w:val="28"/>
          <w:szCs w:val="28"/>
          <w:lang w:val="en-US" w:eastAsia="zh-CN"/>
        </w:rPr>
        <w:t>扩大专业规模</w:t>
      </w:r>
    </w:p>
    <w:p>
      <w:pPr>
        <w:numPr>
          <w:ilvl w:val="0"/>
          <w:numId w:val="0"/>
        </w:numPr>
        <w:ind w:firstLine="560" w:firstLineChars="200"/>
        <w:jc w:val="both"/>
        <w:rPr>
          <w:rFonts w:hint="eastAsia"/>
          <w:color w:val="FF0000"/>
          <w:sz w:val="28"/>
          <w:szCs w:val="28"/>
          <w:lang w:val="en-US" w:eastAsia="zh-CN"/>
        </w:rPr>
      </w:pPr>
      <w:r>
        <w:rPr>
          <w:rFonts w:hint="eastAsia"/>
          <w:sz w:val="28"/>
          <w:szCs w:val="28"/>
          <w:lang w:val="en-US" w:eastAsia="zh-CN"/>
        </w:rPr>
        <w:t>近三年大数据技术及软件技术专业，生源稳定、毕业生就业形式良好，结合我院实际，对2022年招生专业计划进行调整，扩大大数据技术、软件技术专业招生人数，未来三年内稳步增长。</w:t>
      </w:r>
      <w:r>
        <w:rPr>
          <w:rFonts w:hint="eastAsia"/>
          <w:color w:val="FF0000"/>
          <w:sz w:val="28"/>
          <w:szCs w:val="28"/>
          <w:lang w:val="en-US" w:eastAsia="zh-CN"/>
        </w:rPr>
        <w:t>保持物联网应用技术招生数量。</w:t>
      </w:r>
    </w:p>
    <w:p>
      <w:pPr>
        <w:numPr>
          <w:ilvl w:val="0"/>
          <w:numId w:val="0"/>
        </w:numPr>
        <w:ind w:firstLine="560" w:firstLineChars="200"/>
        <w:jc w:val="both"/>
        <w:rPr>
          <w:rFonts w:hint="eastAsia"/>
          <w:sz w:val="28"/>
          <w:szCs w:val="28"/>
          <w:lang w:val="en-US" w:eastAsia="zh-CN"/>
        </w:rPr>
      </w:pPr>
      <w:r>
        <w:rPr>
          <w:rFonts w:hint="eastAsia"/>
          <w:sz w:val="28"/>
          <w:szCs w:val="28"/>
          <w:lang w:val="en-US" w:eastAsia="zh-CN"/>
        </w:rPr>
        <w:t>（二）优化专业培养模式</w:t>
      </w:r>
    </w:p>
    <w:p>
      <w:pPr>
        <w:numPr>
          <w:ilvl w:val="0"/>
          <w:numId w:val="0"/>
        </w:numPr>
        <w:ind w:firstLine="560" w:firstLineChars="200"/>
        <w:jc w:val="both"/>
        <w:rPr>
          <w:rFonts w:hint="eastAsia"/>
          <w:sz w:val="28"/>
          <w:szCs w:val="28"/>
          <w:lang w:val="en-US" w:eastAsia="zh-CN"/>
        </w:rPr>
      </w:pPr>
      <w:r>
        <w:rPr>
          <w:rFonts w:hint="eastAsia"/>
          <w:sz w:val="28"/>
          <w:szCs w:val="28"/>
          <w:lang w:val="en-US" w:eastAsia="zh-CN"/>
        </w:rPr>
        <w:t>以服务为宗旨，以就业为导向，把提高办学质量为重点，深入企业调研，修订人才培养方案，优化专业培养模式，强化教学改革，形成把企业当课堂，把岗位当课桌的教改方向。以工业任务为线索，明确课程设置。以职业能力为依托，组织课程内容。以典型服务为载体，设计教学活动。以职业技能鉴定为参照，强化技能训练。</w:t>
      </w:r>
    </w:p>
    <w:p>
      <w:pPr>
        <w:numPr>
          <w:ilvl w:val="0"/>
          <w:numId w:val="5"/>
        </w:numPr>
        <w:ind w:firstLine="560" w:firstLineChars="200"/>
        <w:jc w:val="both"/>
        <w:rPr>
          <w:rFonts w:hint="default" w:eastAsia="宋体"/>
          <w:sz w:val="28"/>
          <w:szCs w:val="28"/>
          <w:lang w:val="en-US" w:eastAsia="zh-CN"/>
        </w:rPr>
      </w:pPr>
      <w:r>
        <w:rPr>
          <w:rFonts w:hint="eastAsia"/>
          <w:sz w:val="28"/>
          <w:szCs w:val="28"/>
          <w:lang w:val="en-US" w:eastAsia="zh-CN"/>
        </w:rPr>
        <w:t xml:space="preserve">深入企业调研 </w:t>
      </w:r>
    </w:p>
    <w:p>
      <w:pPr>
        <w:numPr>
          <w:numId w:val="0"/>
        </w:numPr>
        <w:jc w:val="both"/>
        <w:rPr>
          <w:rFonts w:hint="default"/>
          <w:color w:val="FF0000"/>
          <w:sz w:val="28"/>
          <w:szCs w:val="28"/>
          <w:lang w:val="en-US" w:eastAsia="zh-CN"/>
        </w:rPr>
      </w:pPr>
      <w:r>
        <w:rPr>
          <w:rFonts w:hint="eastAsia"/>
          <w:sz w:val="28"/>
          <w:szCs w:val="28"/>
          <w:lang w:val="en-US" w:eastAsia="zh-CN"/>
        </w:rPr>
        <w:t xml:space="preserve">   加大企业调研力度，了解当前信息化行业的现状、了解业工作环境、了解企业对人才的用人</w:t>
      </w:r>
      <w:r>
        <w:rPr>
          <w:rFonts w:hint="eastAsia"/>
          <w:sz w:val="28"/>
          <w:szCs w:val="28"/>
          <w:lang w:val="en-US" w:eastAsia="zh-CN"/>
        </w:rPr>
        <w:t>需求，进而明确学院对人才培养方向。整合岗位需求信息和毕业生信息，建立高水平的动态就业工作信息服务平台，为毕业生和用人单位提供准确的就业参考，提高就业创业服务水平和实效。</w:t>
      </w:r>
      <w:r>
        <w:rPr>
          <w:rFonts w:hint="eastAsia"/>
          <w:color w:val="FF0000"/>
          <w:sz w:val="28"/>
          <w:szCs w:val="28"/>
          <w:lang w:val="en-US" w:eastAsia="zh-CN"/>
        </w:rPr>
        <w:t>目标调研单位包括：北京东方国信科技股份有限公司、北京神州泰岳软件股份有限公司、北斗大数据科技（天津）有限公司、曙光信息产业股份有限公司，大连华信数据技术有限公司等。</w:t>
      </w:r>
    </w:p>
    <w:p>
      <w:pPr>
        <w:numPr>
          <w:ilvl w:val="0"/>
          <w:numId w:val="5"/>
        </w:numPr>
        <w:ind w:firstLine="560" w:firstLineChars="200"/>
        <w:jc w:val="both"/>
        <w:rPr>
          <w:rFonts w:hint="default" w:eastAsia="宋体"/>
          <w:sz w:val="28"/>
          <w:szCs w:val="28"/>
          <w:lang w:val="en-US" w:eastAsia="zh-CN"/>
        </w:rPr>
      </w:pPr>
      <w:r>
        <w:rPr>
          <w:rFonts w:hint="eastAsia"/>
          <w:sz w:val="28"/>
          <w:szCs w:val="28"/>
          <w:lang w:val="en-US" w:eastAsia="zh-CN"/>
        </w:rPr>
        <w:t>强化毕业生就业指导</w:t>
      </w:r>
    </w:p>
    <w:p>
      <w:pPr>
        <w:numPr>
          <w:ilvl w:val="0"/>
          <w:numId w:val="0"/>
        </w:numPr>
        <w:ind w:firstLine="560" w:firstLineChars="200"/>
        <w:jc w:val="both"/>
        <w:rPr>
          <w:rFonts w:hint="default" w:eastAsia="宋体"/>
          <w:sz w:val="28"/>
          <w:szCs w:val="28"/>
          <w:lang w:val="en-US" w:eastAsia="zh-CN"/>
        </w:rPr>
      </w:pPr>
      <w:r>
        <w:rPr>
          <w:rFonts w:hint="eastAsia"/>
          <w:sz w:val="28"/>
          <w:szCs w:val="28"/>
          <w:lang w:val="en-US" w:eastAsia="zh-CN"/>
        </w:rPr>
        <w:t>定期邀请企业专家来校做行业前沿技术讲座。邀请往届毕业生回校做工作经验交流分享。加大对毕业生的宣传和推荐力度，有针对性引进周边地区大数据企业和软件企业参加校园招聘会，到2024年力争引入对口企业20家以上，扩大学生选择范围。在学生就业率保持在95%以上基础上，降低学生从事行业与所学专业不</w:t>
      </w:r>
      <w:r>
        <w:rPr>
          <w:rFonts w:hint="eastAsia"/>
          <w:sz w:val="28"/>
          <w:szCs w:val="28"/>
          <w:lang w:val="en-US" w:eastAsia="zh-CN"/>
        </w:rPr>
        <w:t>对口的人数比例。</w:t>
      </w:r>
    </w:p>
    <w:p>
      <w:pPr>
        <w:numPr>
          <w:ilvl w:val="0"/>
          <w:numId w:val="5"/>
        </w:numPr>
        <w:ind w:firstLine="560" w:firstLineChars="200"/>
        <w:jc w:val="both"/>
        <w:rPr>
          <w:rFonts w:hint="eastAsia"/>
          <w:sz w:val="28"/>
          <w:szCs w:val="28"/>
          <w:lang w:val="en-US" w:eastAsia="zh-CN"/>
        </w:rPr>
      </w:pPr>
      <w:r>
        <w:rPr>
          <w:rFonts w:hint="eastAsia"/>
          <w:sz w:val="28"/>
          <w:szCs w:val="28"/>
          <w:lang w:val="en-US" w:eastAsia="zh-CN"/>
        </w:rPr>
        <w:t>规范顶岗实习管理</w:t>
      </w:r>
    </w:p>
    <w:p>
      <w:pPr>
        <w:numPr>
          <w:numId w:val="0"/>
        </w:numPr>
        <w:jc w:val="both"/>
        <w:rPr>
          <w:rFonts w:hint="default"/>
          <w:sz w:val="28"/>
          <w:szCs w:val="28"/>
          <w:lang w:val="en-US" w:eastAsia="zh-CN"/>
        </w:rPr>
      </w:pPr>
      <w:r>
        <w:rPr>
          <w:rFonts w:hint="eastAsia"/>
          <w:sz w:val="28"/>
          <w:szCs w:val="28"/>
          <w:lang w:val="en-US" w:eastAsia="zh-CN"/>
        </w:rPr>
        <w:t xml:space="preserve">    充分重视校内学习与 实际工作的一致性，尤其学生自行联系实习单位的，指导教师要严格审批。加大跟踪力度，指导教师定期检查学生顶岗实习过程性成果，督促学生保质保量完成顶岗实习任务。监管用人单位保证学生顶岗实习安全并提供基本生活保障。</w:t>
      </w:r>
    </w:p>
    <w:p>
      <w:pPr>
        <w:numPr>
          <w:ilvl w:val="0"/>
          <w:numId w:val="5"/>
        </w:numPr>
        <w:ind w:firstLine="560" w:firstLineChars="200"/>
        <w:jc w:val="both"/>
        <w:rPr>
          <w:rFonts w:hint="eastAsia"/>
          <w:sz w:val="28"/>
          <w:szCs w:val="28"/>
          <w:lang w:val="en-US" w:eastAsia="zh-CN"/>
        </w:rPr>
      </w:pPr>
      <w:r>
        <w:rPr>
          <w:rFonts w:hint="eastAsia"/>
          <w:sz w:val="28"/>
          <w:szCs w:val="28"/>
          <w:lang w:val="en-US" w:eastAsia="zh-CN"/>
        </w:rPr>
        <w:t>加大技能竞赛参与力度</w:t>
      </w:r>
    </w:p>
    <w:p>
      <w:pPr>
        <w:numPr>
          <w:numId w:val="0"/>
        </w:numPr>
        <w:ind w:firstLine="560"/>
        <w:jc w:val="both"/>
        <w:rPr>
          <w:rFonts w:hint="eastAsia"/>
          <w:sz w:val="28"/>
          <w:szCs w:val="28"/>
          <w:lang w:val="en-US" w:eastAsia="zh-CN"/>
        </w:rPr>
      </w:pPr>
      <w:r>
        <w:rPr>
          <w:rFonts w:hint="eastAsia"/>
          <w:sz w:val="28"/>
          <w:szCs w:val="28"/>
          <w:lang w:val="en-US" w:eastAsia="zh-CN"/>
        </w:rPr>
        <w:t>2021年我院三名教师参加全国职业院校教师职业能力大赛，获得国家级二等奖。多个学生比赛分别获赤峰市一等奖、二等奖、三等奖、自治区二等奖和三等价等。未来三年加大技能大赛参与力度。组鼓励教师和学生参赛，争取取得更好的成绩，最终达到以赛促教以赛促学的目的。</w:t>
      </w:r>
    </w:p>
    <w:p>
      <w:pPr>
        <w:numPr>
          <w:ilvl w:val="0"/>
          <w:numId w:val="0"/>
        </w:numPr>
        <w:ind w:firstLine="560"/>
        <w:jc w:val="center"/>
        <w:rPr>
          <w:rFonts w:hint="eastAsia"/>
          <w:sz w:val="24"/>
          <w:szCs w:val="24"/>
          <w:lang w:val="en-US" w:eastAsia="zh-CN"/>
        </w:rPr>
      </w:pPr>
      <w:r>
        <w:rPr>
          <w:rFonts w:hint="eastAsia"/>
          <w:sz w:val="24"/>
          <w:szCs w:val="24"/>
          <w:lang w:val="en-US" w:eastAsia="zh-CN"/>
        </w:rPr>
        <w:t>表1   2022-2024年参赛计划</w:t>
      </w:r>
    </w:p>
    <w:tbl>
      <w:tblPr>
        <w:tblStyle w:val="6"/>
        <w:tblpPr w:leftFromText="180" w:rightFromText="180" w:vertAnchor="page" w:horzAnchor="page" w:tblpX="1790" w:tblpY="3205"/>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5"/>
        <w:gridCol w:w="491"/>
        <w:gridCol w:w="2715"/>
        <w:gridCol w:w="1595"/>
        <w:gridCol w:w="1595"/>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555" w:type="pct"/>
            <w:gridSpan w:val="2"/>
            <w:vMerge w:val="restar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组别</w:t>
            </w:r>
          </w:p>
        </w:tc>
        <w:tc>
          <w:tcPr>
            <w:tcW w:w="1593" w:type="pct"/>
            <w:vMerge w:val="restart"/>
            <w:noWrap w:val="0"/>
            <w:vAlign w:val="center"/>
          </w:tcPr>
          <w:p>
            <w:pPr>
              <w:numPr>
                <w:ilvl w:val="0"/>
                <w:numId w:val="0"/>
              </w:numPr>
              <w:ind w:firstLine="560"/>
              <w:jc w:val="center"/>
              <w:rPr>
                <w:rFonts w:hint="default"/>
                <w:sz w:val="21"/>
                <w:szCs w:val="21"/>
                <w:lang w:val="en-US" w:eastAsia="zh-CN"/>
              </w:rPr>
            </w:pPr>
            <w:r>
              <w:rPr>
                <w:rFonts w:hint="eastAsia"/>
                <w:sz w:val="21"/>
                <w:szCs w:val="21"/>
                <w:lang w:val="en-US" w:eastAsia="zh-CN"/>
              </w:rPr>
              <w:t>参赛项目</w:t>
            </w:r>
          </w:p>
        </w:tc>
        <w:tc>
          <w:tcPr>
            <w:tcW w:w="2851" w:type="pct"/>
            <w:gridSpan w:val="3"/>
            <w:noWrap w:val="0"/>
            <w:vAlign w:val="center"/>
          </w:tcPr>
          <w:p>
            <w:pPr>
              <w:numPr>
                <w:ilvl w:val="0"/>
                <w:numId w:val="0"/>
              </w:numPr>
              <w:ind w:firstLine="560"/>
              <w:jc w:val="center"/>
              <w:rPr>
                <w:rFonts w:hint="default"/>
                <w:sz w:val="21"/>
                <w:szCs w:val="21"/>
                <w:lang w:val="en-US" w:eastAsia="zh-CN"/>
              </w:rPr>
            </w:pPr>
            <w:r>
              <w:rPr>
                <w:rFonts w:hint="eastAsia"/>
                <w:sz w:val="21"/>
                <w:szCs w:val="21"/>
                <w:lang w:val="en-US" w:eastAsia="zh-CN"/>
              </w:rPr>
              <w:t>获奖目标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555" w:type="pct"/>
            <w:gridSpan w:val="2"/>
            <w:vMerge w:val="continue"/>
            <w:noWrap w:val="0"/>
            <w:vAlign w:val="center"/>
          </w:tcPr>
          <w:p>
            <w:pPr>
              <w:numPr>
                <w:ilvl w:val="0"/>
                <w:numId w:val="0"/>
              </w:numPr>
              <w:ind w:firstLine="560"/>
              <w:jc w:val="center"/>
              <w:rPr>
                <w:rFonts w:hint="eastAsia"/>
                <w:sz w:val="21"/>
                <w:szCs w:val="21"/>
                <w:lang w:val="en-US" w:eastAsia="zh-CN"/>
              </w:rPr>
            </w:pPr>
          </w:p>
        </w:tc>
        <w:tc>
          <w:tcPr>
            <w:tcW w:w="1593" w:type="pct"/>
            <w:vMerge w:val="continue"/>
            <w:noWrap w:val="0"/>
            <w:vAlign w:val="center"/>
          </w:tcPr>
          <w:p>
            <w:pPr>
              <w:numPr>
                <w:ilvl w:val="0"/>
                <w:numId w:val="0"/>
              </w:numPr>
              <w:ind w:firstLine="560"/>
              <w:jc w:val="center"/>
              <w:rPr>
                <w:rFonts w:hint="eastAsia"/>
                <w:sz w:val="21"/>
                <w:szCs w:val="21"/>
                <w:lang w:val="en-US" w:eastAsia="zh-CN"/>
              </w:rPr>
            </w:pPr>
          </w:p>
        </w:tc>
        <w:tc>
          <w:tcPr>
            <w:tcW w:w="936" w:type="pct"/>
            <w:noWrap w:val="0"/>
            <w:vAlign w:val="center"/>
          </w:tcPr>
          <w:p>
            <w:pPr>
              <w:numPr>
                <w:ilvl w:val="0"/>
                <w:numId w:val="0"/>
              </w:numPr>
              <w:ind w:firstLine="560"/>
              <w:jc w:val="center"/>
              <w:rPr>
                <w:rFonts w:hint="default"/>
                <w:sz w:val="21"/>
                <w:szCs w:val="21"/>
                <w:lang w:val="en-US" w:eastAsia="zh-CN"/>
              </w:rPr>
            </w:pPr>
            <w:r>
              <w:rPr>
                <w:rFonts w:hint="eastAsia"/>
                <w:sz w:val="21"/>
                <w:szCs w:val="21"/>
                <w:lang w:val="en-US" w:eastAsia="zh-CN"/>
              </w:rPr>
              <w:t>2022</w:t>
            </w:r>
          </w:p>
        </w:tc>
        <w:tc>
          <w:tcPr>
            <w:tcW w:w="936" w:type="pct"/>
            <w:noWrap w:val="0"/>
            <w:vAlign w:val="center"/>
          </w:tcPr>
          <w:p>
            <w:pPr>
              <w:numPr>
                <w:ilvl w:val="0"/>
                <w:numId w:val="0"/>
              </w:numPr>
              <w:ind w:firstLine="560"/>
              <w:jc w:val="center"/>
              <w:rPr>
                <w:rFonts w:hint="default"/>
                <w:sz w:val="21"/>
                <w:szCs w:val="21"/>
                <w:lang w:val="en-US" w:eastAsia="zh-CN"/>
              </w:rPr>
            </w:pPr>
            <w:r>
              <w:rPr>
                <w:rFonts w:hint="eastAsia"/>
                <w:sz w:val="21"/>
                <w:szCs w:val="21"/>
                <w:lang w:val="en-US" w:eastAsia="zh-CN"/>
              </w:rPr>
              <w:t>2023</w:t>
            </w:r>
          </w:p>
        </w:tc>
        <w:tc>
          <w:tcPr>
            <w:tcW w:w="978" w:type="pct"/>
            <w:noWrap w:val="0"/>
            <w:vAlign w:val="center"/>
          </w:tcPr>
          <w:p>
            <w:pPr>
              <w:numPr>
                <w:ilvl w:val="0"/>
                <w:numId w:val="0"/>
              </w:numPr>
              <w:ind w:firstLine="560"/>
              <w:jc w:val="center"/>
              <w:rPr>
                <w:rFonts w:hint="default"/>
                <w:sz w:val="21"/>
                <w:szCs w:val="21"/>
                <w:lang w:val="en-US" w:eastAsia="zh-CN"/>
              </w:rPr>
            </w:pPr>
            <w:r>
              <w:rPr>
                <w:rFonts w:hint="eastAsia"/>
                <w:sz w:val="21"/>
                <w:szCs w:val="21"/>
                <w:lang w:val="en-US" w:eastAsia="zh-CN"/>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67" w:type="pct"/>
            <w:vMerge w:val="restar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教师</w:t>
            </w:r>
          </w:p>
        </w:tc>
        <w:tc>
          <w:tcPr>
            <w:tcW w:w="288" w:type="pct"/>
            <w:vMerge w:val="restar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中职</w:t>
            </w:r>
          </w:p>
        </w:tc>
        <w:tc>
          <w:tcPr>
            <w:tcW w:w="1593" w:type="pc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全国</w:t>
            </w:r>
            <w:r>
              <w:rPr>
                <w:rFonts w:hint="default"/>
                <w:sz w:val="21"/>
                <w:szCs w:val="21"/>
                <w:lang w:val="en-US" w:eastAsia="zh-CN"/>
              </w:rPr>
              <w:t>技工院校教学</w:t>
            </w:r>
            <w:r>
              <w:rPr>
                <w:rFonts w:hint="eastAsia"/>
                <w:sz w:val="21"/>
                <w:szCs w:val="21"/>
                <w:lang w:val="en-US" w:eastAsia="zh-CN"/>
              </w:rPr>
              <w:t>能力比赛</w:t>
            </w:r>
          </w:p>
        </w:tc>
        <w:tc>
          <w:tcPr>
            <w:tcW w:w="936" w:type="pc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自治区二等奖及以上</w:t>
            </w:r>
          </w:p>
        </w:tc>
        <w:tc>
          <w:tcPr>
            <w:tcW w:w="936" w:type="pct"/>
            <w:noWrap w:val="0"/>
            <w:vAlign w:val="center"/>
          </w:tcPr>
          <w:p>
            <w:pPr>
              <w:numPr>
                <w:ilvl w:val="0"/>
                <w:numId w:val="0"/>
              </w:numPr>
              <w:ind w:firstLine="560"/>
              <w:jc w:val="center"/>
              <w:rPr>
                <w:rFonts w:hint="default"/>
                <w:sz w:val="21"/>
                <w:szCs w:val="21"/>
                <w:lang w:val="en-US" w:eastAsia="zh-CN"/>
              </w:rPr>
            </w:pPr>
          </w:p>
        </w:tc>
        <w:tc>
          <w:tcPr>
            <w:tcW w:w="978" w:type="pc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国家级二等奖及以上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continue"/>
            <w:noWrap w:val="0"/>
            <w:vAlign w:val="center"/>
          </w:tcPr>
          <w:p>
            <w:pPr>
              <w:numPr>
                <w:ilvl w:val="0"/>
                <w:numId w:val="0"/>
              </w:numPr>
              <w:ind w:firstLine="560"/>
              <w:jc w:val="center"/>
              <w:rPr>
                <w:rFonts w:hint="eastAsia"/>
                <w:sz w:val="21"/>
                <w:szCs w:val="21"/>
                <w:lang w:val="en-US" w:eastAsia="zh-CN"/>
              </w:rPr>
            </w:pPr>
          </w:p>
        </w:tc>
        <w:tc>
          <w:tcPr>
            <w:tcW w:w="288" w:type="pct"/>
            <w:vMerge w:val="continue"/>
            <w:noWrap w:val="0"/>
            <w:vAlign w:val="center"/>
          </w:tcPr>
          <w:p>
            <w:pPr>
              <w:numPr>
                <w:ilvl w:val="0"/>
                <w:numId w:val="0"/>
              </w:numPr>
              <w:ind w:firstLine="560"/>
              <w:jc w:val="center"/>
              <w:rPr>
                <w:rFonts w:hint="eastAsia"/>
                <w:sz w:val="21"/>
                <w:szCs w:val="21"/>
                <w:lang w:val="en-US" w:eastAsia="zh-CN"/>
              </w:rPr>
            </w:pPr>
          </w:p>
        </w:tc>
        <w:tc>
          <w:tcPr>
            <w:tcW w:w="1593" w:type="pc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全国职业院校技能大赛教学能力比赛</w:t>
            </w:r>
          </w:p>
        </w:tc>
        <w:tc>
          <w:tcPr>
            <w:tcW w:w="936" w:type="pc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自治区二等奖及以上</w:t>
            </w:r>
          </w:p>
        </w:tc>
        <w:tc>
          <w:tcPr>
            <w:tcW w:w="936" w:type="pc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国家级二等奖及以上</w:t>
            </w:r>
          </w:p>
        </w:tc>
        <w:tc>
          <w:tcPr>
            <w:tcW w:w="978" w:type="pc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国家级一等奖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continue"/>
            <w:noWrap w:val="0"/>
            <w:vAlign w:val="center"/>
          </w:tcPr>
          <w:p>
            <w:pPr>
              <w:numPr>
                <w:ilvl w:val="0"/>
                <w:numId w:val="0"/>
              </w:numPr>
              <w:ind w:firstLine="560"/>
              <w:jc w:val="center"/>
              <w:rPr>
                <w:rFonts w:hint="eastAsia"/>
                <w:sz w:val="21"/>
                <w:szCs w:val="21"/>
                <w:lang w:val="en-US" w:eastAsia="zh-CN"/>
              </w:rPr>
            </w:pPr>
          </w:p>
        </w:tc>
        <w:tc>
          <w:tcPr>
            <w:tcW w:w="288" w:type="pct"/>
            <w:vMerge w:val="continue"/>
            <w:noWrap w:val="0"/>
            <w:vAlign w:val="center"/>
          </w:tcPr>
          <w:p>
            <w:pPr>
              <w:numPr>
                <w:ilvl w:val="0"/>
                <w:numId w:val="0"/>
              </w:numPr>
              <w:ind w:firstLine="560"/>
              <w:jc w:val="center"/>
              <w:rPr>
                <w:rFonts w:hint="eastAsia"/>
                <w:sz w:val="21"/>
                <w:szCs w:val="21"/>
                <w:lang w:val="en-US" w:eastAsia="zh-CN"/>
              </w:rPr>
            </w:pPr>
          </w:p>
        </w:tc>
        <w:tc>
          <w:tcPr>
            <w:tcW w:w="1593" w:type="pc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中等职业院校班主任能力比赛</w:t>
            </w:r>
          </w:p>
        </w:tc>
        <w:tc>
          <w:tcPr>
            <w:tcW w:w="936" w:type="pc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自治区二等奖及以上</w:t>
            </w:r>
          </w:p>
        </w:tc>
        <w:tc>
          <w:tcPr>
            <w:tcW w:w="936" w:type="pc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国家级二等奖及以上</w:t>
            </w:r>
          </w:p>
        </w:tc>
        <w:tc>
          <w:tcPr>
            <w:tcW w:w="978" w:type="pc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国家级一等奖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67" w:type="pct"/>
            <w:vMerge w:val="continue"/>
            <w:noWrap w:val="0"/>
            <w:vAlign w:val="center"/>
          </w:tcPr>
          <w:p>
            <w:pPr>
              <w:numPr>
                <w:ilvl w:val="0"/>
                <w:numId w:val="0"/>
              </w:numPr>
              <w:ind w:firstLine="560"/>
              <w:jc w:val="center"/>
              <w:rPr>
                <w:rFonts w:hint="default"/>
                <w:sz w:val="21"/>
                <w:szCs w:val="21"/>
                <w:lang w:val="en-US" w:eastAsia="zh-CN"/>
              </w:rPr>
            </w:pPr>
          </w:p>
        </w:tc>
        <w:tc>
          <w:tcPr>
            <w:tcW w:w="288" w:type="pct"/>
            <w:vMerge w:val="restar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高职</w:t>
            </w:r>
          </w:p>
        </w:tc>
        <w:tc>
          <w:tcPr>
            <w:tcW w:w="1593" w:type="pc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全国职业院校技能大赛教学能力比赛</w:t>
            </w:r>
          </w:p>
        </w:tc>
        <w:tc>
          <w:tcPr>
            <w:tcW w:w="936" w:type="pc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自治区二等奖及以上</w:t>
            </w:r>
          </w:p>
        </w:tc>
        <w:tc>
          <w:tcPr>
            <w:tcW w:w="936" w:type="pc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国家级二等奖及以上</w:t>
            </w:r>
          </w:p>
        </w:tc>
        <w:tc>
          <w:tcPr>
            <w:tcW w:w="978" w:type="pc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国家级一等奖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continue"/>
            <w:noWrap w:val="0"/>
            <w:vAlign w:val="center"/>
          </w:tcPr>
          <w:p>
            <w:pPr>
              <w:numPr>
                <w:ilvl w:val="0"/>
                <w:numId w:val="0"/>
              </w:numPr>
              <w:ind w:firstLine="560"/>
              <w:jc w:val="center"/>
              <w:rPr>
                <w:rFonts w:hint="eastAsia"/>
                <w:sz w:val="21"/>
                <w:szCs w:val="21"/>
                <w:lang w:val="en-US" w:eastAsia="zh-CN"/>
              </w:rPr>
            </w:pPr>
          </w:p>
        </w:tc>
        <w:tc>
          <w:tcPr>
            <w:tcW w:w="288" w:type="pct"/>
            <w:vMerge w:val="continue"/>
            <w:noWrap w:val="0"/>
            <w:vAlign w:val="center"/>
          </w:tcPr>
          <w:p>
            <w:pPr>
              <w:numPr>
                <w:ilvl w:val="0"/>
                <w:numId w:val="0"/>
              </w:numPr>
              <w:ind w:firstLine="560"/>
              <w:jc w:val="center"/>
              <w:rPr>
                <w:rFonts w:hint="eastAsia"/>
                <w:sz w:val="21"/>
                <w:szCs w:val="21"/>
                <w:lang w:val="en-US" w:eastAsia="zh-CN"/>
              </w:rPr>
            </w:pPr>
          </w:p>
        </w:tc>
        <w:tc>
          <w:tcPr>
            <w:tcW w:w="1593" w:type="pc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全国</w:t>
            </w:r>
            <w:r>
              <w:rPr>
                <w:rFonts w:hint="default"/>
                <w:sz w:val="21"/>
                <w:szCs w:val="21"/>
                <w:lang w:val="en-US" w:eastAsia="zh-CN"/>
              </w:rPr>
              <w:t>技工院校教学</w:t>
            </w:r>
            <w:r>
              <w:rPr>
                <w:rFonts w:hint="eastAsia"/>
                <w:sz w:val="21"/>
                <w:szCs w:val="21"/>
                <w:lang w:val="en-US" w:eastAsia="zh-CN"/>
              </w:rPr>
              <w:t>能力比赛</w:t>
            </w:r>
          </w:p>
        </w:tc>
        <w:tc>
          <w:tcPr>
            <w:tcW w:w="936" w:type="pc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自治区二等奖及以上</w:t>
            </w:r>
          </w:p>
        </w:tc>
        <w:tc>
          <w:tcPr>
            <w:tcW w:w="936" w:type="pct"/>
            <w:noWrap w:val="0"/>
            <w:vAlign w:val="center"/>
          </w:tcPr>
          <w:p>
            <w:pPr>
              <w:numPr>
                <w:ilvl w:val="0"/>
                <w:numId w:val="0"/>
              </w:numPr>
              <w:ind w:firstLine="560"/>
              <w:jc w:val="center"/>
              <w:rPr>
                <w:rFonts w:hint="default"/>
                <w:sz w:val="21"/>
                <w:szCs w:val="21"/>
                <w:lang w:val="en-US" w:eastAsia="zh-CN"/>
              </w:rPr>
            </w:pPr>
          </w:p>
        </w:tc>
        <w:tc>
          <w:tcPr>
            <w:tcW w:w="978" w:type="pc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国家级二等奖及以上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continue"/>
            <w:noWrap w:val="0"/>
            <w:vAlign w:val="center"/>
          </w:tcPr>
          <w:p>
            <w:pPr>
              <w:numPr>
                <w:ilvl w:val="0"/>
                <w:numId w:val="0"/>
              </w:numPr>
              <w:ind w:firstLine="560"/>
              <w:jc w:val="center"/>
              <w:rPr>
                <w:rFonts w:hint="eastAsia"/>
                <w:sz w:val="21"/>
                <w:szCs w:val="21"/>
                <w:lang w:val="en-US" w:eastAsia="zh-CN"/>
              </w:rPr>
            </w:pPr>
          </w:p>
        </w:tc>
        <w:tc>
          <w:tcPr>
            <w:tcW w:w="288" w:type="pct"/>
            <w:vMerge w:val="continue"/>
            <w:noWrap w:val="0"/>
            <w:vAlign w:val="center"/>
          </w:tcPr>
          <w:p>
            <w:pPr>
              <w:numPr>
                <w:ilvl w:val="0"/>
                <w:numId w:val="0"/>
              </w:numPr>
              <w:ind w:firstLine="560"/>
              <w:jc w:val="center"/>
              <w:rPr>
                <w:rFonts w:hint="eastAsia"/>
                <w:sz w:val="21"/>
                <w:szCs w:val="21"/>
                <w:lang w:val="en-US" w:eastAsia="zh-CN"/>
              </w:rPr>
            </w:pPr>
          </w:p>
        </w:tc>
        <w:tc>
          <w:tcPr>
            <w:tcW w:w="1593" w:type="pc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课程思政教学技能大赛</w:t>
            </w:r>
          </w:p>
        </w:tc>
        <w:tc>
          <w:tcPr>
            <w:tcW w:w="936" w:type="pc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市级二等奖及以上</w:t>
            </w:r>
          </w:p>
        </w:tc>
        <w:tc>
          <w:tcPr>
            <w:tcW w:w="936" w:type="pc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自治区级二等奖以上</w:t>
            </w:r>
          </w:p>
        </w:tc>
        <w:tc>
          <w:tcPr>
            <w:tcW w:w="978" w:type="pc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国家级二等奖及以上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67" w:type="pct"/>
            <w:vMerge w:val="restar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学生</w:t>
            </w:r>
          </w:p>
        </w:tc>
        <w:tc>
          <w:tcPr>
            <w:tcW w:w="288" w:type="pct"/>
            <w:vMerge w:val="restar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高职</w:t>
            </w:r>
          </w:p>
        </w:tc>
        <w:tc>
          <w:tcPr>
            <w:tcW w:w="1593" w:type="pc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软件测试技能大赛</w:t>
            </w:r>
          </w:p>
        </w:tc>
        <w:tc>
          <w:tcPr>
            <w:tcW w:w="936" w:type="pc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自治区三等奖</w:t>
            </w:r>
          </w:p>
        </w:tc>
        <w:tc>
          <w:tcPr>
            <w:tcW w:w="936" w:type="pc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自治区二等奖及以上</w:t>
            </w:r>
          </w:p>
        </w:tc>
        <w:tc>
          <w:tcPr>
            <w:tcW w:w="978" w:type="pc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国家级三等奖及以上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Merge w:val="continue"/>
            <w:noWrap w:val="0"/>
            <w:vAlign w:val="center"/>
          </w:tcPr>
          <w:p>
            <w:pPr>
              <w:jc w:val="center"/>
              <w:rPr>
                <w:rFonts w:hint="eastAsia" w:ascii="仿宋" w:hAnsi="仿宋" w:eastAsia="仿宋" w:cs="仿宋"/>
                <w:b w:val="0"/>
                <w:bCs w:val="0"/>
                <w:sz w:val="21"/>
                <w:szCs w:val="21"/>
                <w:vertAlign w:val="baseline"/>
                <w:lang w:val="en-US" w:eastAsia="zh-CN"/>
              </w:rPr>
            </w:pPr>
          </w:p>
        </w:tc>
        <w:tc>
          <w:tcPr>
            <w:tcW w:w="288" w:type="pct"/>
            <w:vMerge w:val="continue"/>
            <w:noWrap w:val="0"/>
            <w:vAlign w:val="center"/>
          </w:tcPr>
          <w:p>
            <w:pPr>
              <w:numPr>
                <w:ilvl w:val="0"/>
                <w:numId w:val="0"/>
              </w:numPr>
              <w:jc w:val="center"/>
              <w:rPr>
                <w:rFonts w:hint="eastAsia" w:ascii="仿宋" w:hAnsi="仿宋" w:eastAsia="仿宋" w:cs="仿宋"/>
                <w:b w:val="0"/>
                <w:bCs w:val="0"/>
                <w:sz w:val="21"/>
                <w:szCs w:val="21"/>
                <w:vertAlign w:val="baseline"/>
                <w:lang w:val="en-US" w:eastAsia="zh-CN"/>
              </w:rPr>
            </w:pPr>
          </w:p>
        </w:tc>
        <w:tc>
          <w:tcPr>
            <w:tcW w:w="1593" w:type="pc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大数据技能大赛</w:t>
            </w:r>
          </w:p>
        </w:tc>
        <w:tc>
          <w:tcPr>
            <w:tcW w:w="936" w:type="pc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自治区三等奖</w:t>
            </w:r>
          </w:p>
        </w:tc>
        <w:tc>
          <w:tcPr>
            <w:tcW w:w="936" w:type="pc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自治区二等奖及以上</w:t>
            </w:r>
          </w:p>
        </w:tc>
        <w:tc>
          <w:tcPr>
            <w:tcW w:w="978" w:type="pct"/>
            <w:noWrap w:val="0"/>
            <w:vAlign w:val="center"/>
          </w:tcPr>
          <w:p>
            <w:pPr>
              <w:numPr>
                <w:ilvl w:val="0"/>
                <w:numId w:val="0"/>
              </w:numPr>
              <w:jc w:val="center"/>
              <w:rPr>
                <w:rFonts w:hint="default"/>
                <w:sz w:val="21"/>
                <w:szCs w:val="21"/>
                <w:lang w:val="en-US" w:eastAsia="zh-CN"/>
              </w:rPr>
            </w:pPr>
            <w:r>
              <w:rPr>
                <w:rFonts w:hint="eastAsia"/>
                <w:sz w:val="21"/>
                <w:szCs w:val="21"/>
                <w:lang w:val="en-US" w:eastAsia="zh-CN"/>
              </w:rPr>
              <w:t>国家级三等奖及以上</w:t>
            </w:r>
          </w:p>
        </w:tc>
      </w:tr>
    </w:tbl>
    <w:p>
      <w:pPr>
        <w:numPr>
          <w:ilvl w:val="0"/>
          <w:numId w:val="0"/>
        </w:numPr>
        <w:ind w:firstLine="560"/>
        <w:jc w:val="both"/>
        <w:rPr>
          <w:rFonts w:hint="eastAsia"/>
          <w:sz w:val="28"/>
          <w:szCs w:val="28"/>
          <w:lang w:val="en-US" w:eastAsia="zh-CN"/>
        </w:rPr>
      </w:pPr>
      <w:r>
        <w:rPr>
          <w:rFonts w:hint="eastAsia"/>
          <w:sz w:val="28"/>
          <w:szCs w:val="28"/>
          <w:lang w:val="en-US" w:eastAsia="zh-CN"/>
        </w:rPr>
        <w:t>5.强化职业资格证书考试辅导</w:t>
      </w:r>
    </w:p>
    <w:p>
      <w:pPr>
        <w:numPr>
          <w:ilvl w:val="0"/>
          <w:numId w:val="0"/>
        </w:numPr>
        <w:ind w:firstLine="560"/>
        <w:jc w:val="both"/>
        <w:rPr>
          <w:rFonts w:hint="eastAsia" w:ascii="仿宋_GB2312" w:hAnsi="仿宋" w:eastAsia="仿宋_GB2312"/>
          <w:color w:val="auto"/>
          <w:szCs w:val="21"/>
          <w:lang w:eastAsia="zh-CN"/>
        </w:rPr>
      </w:pPr>
      <w:r>
        <w:rPr>
          <w:rFonts w:hint="eastAsia"/>
          <w:sz w:val="28"/>
          <w:szCs w:val="28"/>
          <w:lang w:val="en-US" w:eastAsia="zh-CN"/>
        </w:rPr>
        <w:t>积极推行1+X 证书制度，把1+X证书制度作为深化职业教育改革、提高人才培养质量、拓展就业本领的重要抓手，鼓励学生在获得学历证书的同时，积极取得多类技能等级证书。教师加大职业资格证书考试指导力度，根据需要重构课程内容，增加考试通过率，增强学生就业竞争力。大数据技术专业学生可以考取的职业资格证书包括“大数据运维工程师、大数据可视化工程师、大数据处理工程师、大数据分析工程师、OPC数据库认证、程序员职业资格证书等。软件技术专业可考取的证书包括：软件评测工程</w:t>
      </w:r>
      <w:r>
        <w:rPr>
          <w:rFonts w:hint="default"/>
          <w:sz w:val="28"/>
          <w:szCs w:val="28"/>
          <w:lang w:val="en-US" w:eastAsia="zh-CN"/>
        </w:rPr>
        <w:t>师职业资格证书</w:t>
      </w:r>
      <w:r>
        <w:rPr>
          <w:rFonts w:hint="eastAsia"/>
          <w:sz w:val="28"/>
          <w:szCs w:val="28"/>
          <w:lang w:val="en-US" w:eastAsia="zh-CN"/>
        </w:rPr>
        <w:t>、Web 前端开发职业</w:t>
      </w:r>
      <w:r>
        <w:rPr>
          <w:rFonts w:hint="default"/>
          <w:sz w:val="28"/>
          <w:szCs w:val="28"/>
          <w:lang w:val="en-US" w:eastAsia="zh-CN"/>
        </w:rPr>
        <w:t>技能等级证书</w:t>
      </w:r>
      <w:r>
        <w:rPr>
          <w:rFonts w:hint="eastAsia"/>
          <w:sz w:val="28"/>
          <w:szCs w:val="28"/>
          <w:lang w:val="en-US" w:eastAsia="zh-CN"/>
        </w:rPr>
        <w:t>、Ocp认证（数据库认证）、</w:t>
      </w:r>
      <w:r>
        <w:rPr>
          <w:rFonts w:hint="eastAsia"/>
          <w:sz w:val="28"/>
          <w:szCs w:val="28"/>
          <w:lang w:val="en-US" w:eastAsia="zh-CN"/>
        </w:rPr>
        <w:t>程序员职业资格证书等。</w:t>
      </w:r>
    </w:p>
    <w:p>
      <w:pPr>
        <w:numPr>
          <w:ilvl w:val="0"/>
          <w:numId w:val="0"/>
        </w:numPr>
        <w:ind w:firstLine="560" w:firstLineChars="200"/>
        <w:jc w:val="both"/>
        <w:rPr>
          <w:rFonts w:hint="default"/>
          <w:sz w:val="28"/>
          <w:szCs w:val="28"/>
          <w:lang w:val="en-US" w:eastAsia="zh-CN"/>
        </w:rPr>
      </w:pPr>
      <w:r>
        <w:rPr>
          <w:rFonts w:hint="eastAsia"/>
          <w:sz w:val="28"/>
          <w:szCs w:val="28"/>
          <w:lang w:val="en-US" w:eastAsia="zh-CN"/>
        </w:rPr>
        <w:t>（三）调整专业课程体系</w:t>
      </w:r>
    </w:p>
    <w:p>
      <w:pPr>
        <w:numPr>
          <w:ilvl w:val="0"/>
          <w:numId w:val="0"/>
        </w:numPr>
        <w:ind w:firstLine="560" w:firstLineChars="200"/>
        <w:jc w:val="both"/>
        <w:rPr>
          <w:rFonts w:hint="eastAsia"/>
          <w:sz w:val="28"/>
          <w:szCs w:val="28"/>
          <w:lang w:val="en-US" w:eastAsia="zh-CN"/>
        </w:rPr>
      </w:pPr>
      <w:r>
        <w:rPr>
          <w:rFonts w:hint="eastAsia"/>
          <w:sz w:val="28"/>
          <w:szCs w:val="28"/>
          <w:lang w:val="en-US" w:eastAsia="zh-CN"/>
        </w:rPr>
        <w:t>1.完善课程标准</w:t>
      </w:r>
    </w:p>
    <w:p>
      <w:pPr>
        <w:numPr>
          <w:ilvl w:val="0"/>
          <w:numId w:val="0"/>
        </w:numPr>
        <w:ind w:firstLine="560" w:firstLineChars="200"/>
        <w:jc w:val="both"/>
        <w:rPr>
          <w:rFonts w:hint="default"/>
          <w:sz w:val="28"/>
          <w:szCs w:val="28"/>
          <w:lang w:val="en-US" w:eastAsia="zh-CN"/>
        </w:rPr>
      </w:pPr>
      <w:r>
        <w:rPr>
          <w:rFonts w:hint="eastAsia"/>
          <w:sz w:val="28"/>
          <w:szCs w:val="28"/>
          <w:lang w:val="en-US" w:eastAsia="zh-CN"/>
        </w:rPr>
        <w:t>依据技术领域和职业岗位（群）的任职要求，参照国家相关职业资格标准，坚持素质、知识、能力并重，以“课程设置基于工作岗位、课程内容基于工作任务、课程教学基于教学做一体化” 为课程建设思路，完善课程体系。</w:t>
      </w:r>
      <w:r>
        <w:rPr>
          <w:rFonts w:hint="eastAsia"/>
          <w:sz w:val="28"/>
          <w:szCs w:val="28"/>
          <w:lang w:val="en-US" w:eastAsia="zh-CN"/>
        </w:rPr>
        <w:t>树立任务引领型课程建设理念，以专业教学团队为主体，以专业教学标准为参照，根据专业特点，调整与完善各专业课程标准，彰显课程培养特色，培养出有特长的人才。</w:t>
      </w:r>
    </w:p>
    <w:p>
      <w:pPr>
        <w:numPr>
          <w:ilvl w:val="0"/>
          <w:numId w:val="6"/>
        </w:numPr>
        <w:ind w:firstLine="560" w:firstLineChars="200"/>
        <w:jc w:val="both"/>
        <w:rPr>
          <w:rFonts w:hint="eastAsia"/>
          <w:sz w:val="28"/>
          <w:szCs w:val="28"/>
          <w:lang w:val="en-US" w:eastAsia="zh-CN"/>
        </w:rPr>
      </w:pPr>
      <w:r>
        <w:rPr>
          <w:rFonts w:hint="eastAsia"/>
          <w:sz w:val="28"/>
          <w:szCs w:val="28"/>
          <w:lang w:val="en-US" w:eastAsia="zh-CN"/>
        </w:rPr>
        <w:t>落实教育科研</w:t>
      </w:r>
    </w:p>
    <w:p>
      <w:pPr>
        <w:numPr>
          <w:numId w:val="0"/>
        </w:numPr>
        <w:ind w:firstLine="560"/>
        <w:jc w:val="both"/>
        <w:rPr>
          <w:rFonts w:hint="default"/>
          <w:sz w:val="28"/>
          <w:szCs w:val="28"/>
          <w:lang w:val="en-US" w:eastAsia="zh-CN"/>
        </w:rPr>
      </w:pPr>
      <w:r>
        <w:rPr>
          <w:rFonts w:hint="eastAsia"/>
          <w:sz w:val="28"/>
          <w:szCs w:val="28"/>
          <w:lang w:val="en-US" w:eastAsia="zh-CN"/>
        </w:rPr>
        <w:t>不断探究教育规律，研究教学方法，积极投身到教育科研之中。不断训练自己的眼睛、耳朵、语言、心智，提高教师自身教育教学能力和水平。号召各教研室教师提高认识，积极参与，营造教育科研氛围。定期开展培训，提高教师科研素质，培养教师科研能力。</w:t>
      </w:r>
    </w:p>
    <w:p>
      <w:pPr>
        <w:numPr>
          <w:ilvl w:val="0"/>
          <w:numId w:val="0"/>
        </w:numPr>
        <w:ind w:firstLine="560" w:firstLineChars="200"/>
        <w:jc w:val="both"/>
      </w:pPr>
      <w:r>
        <w:rPr>
          <w:rFonts w:hint="eastAsia"/>
          <w:sz w:val="28"/>
          <w:szCs w:val="28"/>
          <w:lang w:val="en-US" w:eastAsia="zh-CN"/>
        </w:rPr>
        <w:t>3.打造专业精品课程</w:t>
      </w:r>
    </w:p>
    <w:p>
      <w:pPr>
        <w:numPr>
          <w:ilvl w:val="0"/>
          <w:numId w:val="0"/>
        </w:numPr>
        <w:ind w:firstLine="560" w:firstLineChars="200"/>
        <w:jc w:val="both"/>
        <w:rPr>
          <w:rFonts w:hint="eastAsia"/>
          <w:sz w:val="28"/>
          <w:szCs w:val="28"/>
          <w:lang w:val="en-US" w:eastAsia="zh-CN"/>
        </w:rPr>
      </w:pPr>
      <w:r>
        <w:rPr>
          <w:rFonts w:hint="eastAsia"/>
          <w:sz w:val="28"/>
          <w:szCs w:val="28"/>
          <w:lang w:val="en-US" w:eastAsia="zh-CN"/>
        </w:rPr>
        <w:t>以创建精品课程为出发点，大力推进课程建设创建在三年内，力争院级精品课程达到3-4门，省级精品课1-2门，努力开发以优质核心课程为基础的高职信息技术相关专业共享型教学资源库，确保专业主干课程达到优质核心。</w:t>
      </w:r>
    </w:p>
    <w:p>
      <w:pPr>
        <w:numPr>
          <w:ilvl w:val="0"/>
          <w:numId w:val="0"/>
        </w:numPr>
        <w:ind w:firstLine="560" w:firstLineChars="200"/>
        <w:jc w:val="both"/>
        <w:rPr>
          <w:rFonts w:hint="eastAsia"/>
          <w:sz w:val="28"/>
          <w:szCs w:val="28"/>
          <w:lang w:val="en-US" w:eastAsia="zh-CN"/>
        </w:rPr>
      </w:pPr>
      <w:r>
        <w:rPr>
          <w:rFonts w:hint="eastAsia"/>
          <w:sz w:val="28"/>
          <w:szCs w:val="28"/>
          <w:lang w:val="en-US" w:eastAsia="zh-CN"/>
        </w:rPr>
        <w:t>4.探究专业教学方法</w:t>
      </w:r>
    </w:p>
    <w:p>
      <w:pPr>
        <w:numPr>
          <w:ilvl w:val="0"/>
          <w:numId w:val="0"/>
        </w:numPr>
        <w:ind w:firstLine="560" w:firstLineChars="200"/>
        <w:jc w:val="both"/>
        <w:rPr>
          <w:rFonts w:hint="default"/>
          <w:sz w:val="28"/>
          <w:szCs w:val="28"/>
          <w:lang w:val="en-US" w:eastAsia="zh-CN"/>
        </w:rPr>
      </w:pPr>
      <w:bookmarkStart w:id="0" w:name="_GoBack"/>
      <w:r>
        <w:rPr>
          <w:rFonts w:hint="eastAsia"/>
          <w:sz w:val="28"/>
          <w:szCs w:val="28"/>
          <w:lang w:val="en-US" w:eastAsia="zh-CN"/>
        </w:rPr>
        <w:t>研究教学对象，实现因材施教，学生评价体制由一考定论向增值性评价，注重演示教学，培养学生思维能力。学习教学艺术，运用行动导向教学法提高教学效果。每教研室每学期推荐1-2门公开课，促进教师间相互学习。落实教师间听评课及督导听评课制度，为教师相互交流提供平台。</w:t>
      </w:r>
    </w:p>
    <w:bookmarkEnd w:id="0"/>
    <w:p>
      <w:pPr>
        <w:numPr>
          <w:ilvl w:val="0"/>
          <w:numId w:val="0"/>
        </w:numPr>
        <w:ind w:firstLine="560" w:firstLineChars="200"/>
        <w:jc w:val="both"/>
        <w:rPr>
          <w:rFonts w:hint="eastAsia"/>
          <w:sz w:val="28"/>
          <w:szCs w:val="28"/>
          <w:lang w:val="en-US" w:eastAsia="zh-CN"/>
        </w:rPr>
      </w:pPr>
      <w:r>
        <w:rPr>
          <w:rFonts w:hint="eastAsia"/>
          <w:sz w:val="28"/>
          <w:szCs w:val="28"/>
          <w:lang w:val="en-US" w:eastAsia="zh-CN"/>
        </w:rPr>
        <w:t>5.搭建专业教学资源库</w:t>
      </w:r>
    </w:p>
    <w:p>
      <w:pPr>
        <w:numPr>
          <w:ilvl w:val="0"/>
          <w:numId w:val="0"/>
        </w:numPr>
        <w:ind w:firstLine="560" w:firstLineChars="200"/>
        <w:jc w:val="both"/>
        <w:rPr>
          <w:rFonts w:hint="eastAsia"/>
          <w:sz w:val="28"/>
          <w:szCs w:val="28"/>
          <w:lang w:val="en-US" w:eastAsia="zh-CN"/>
        </w:rPr>
      </w:pPr>
      <w:r>
        <w:rPr>
          <w:rFonts w:hint="eastAsia"/>
          <w:sz w:val="28"/>
          <w:szCs w:val="28"/>
          <w:lang w:val="en-US" w:eastAsia="zh-CN"/>
        </w:rPr>
        <w:t>加大慕课、微课等在线教学资源开发力度，推进校级教学资源库建设与应用。</w:t>
      </w:r>
      <w:r>
        <w:rPr>
          <w:rFonts w:hint="eastAsia"/>
          <w:sz w:val="28"/>
          <w:szCs w:val="28"/>
          <w:lang w:val="en-US" w:eastAsia="zh-CN"/>
        </w:rPr>
        <w:t>利用网络资源和信息技术，完成包括典型案例、优质课件、创新评价方案、优秀学生成果、精品课程及教科研成果等六大模块的素材收集、整理、汇编工作。</w:t>
      </w:r>
    </w:p>
    <w:p>
      <w:pPr>
        <w:numPr>
          <w:numId w:val="0"/>
        </w:numPr>
        <w:ind w:leftChars="200"/>
        <w:jc w:val="both"/>
        <w:rPr>
          <w:rFonts w:hint="eastAsia"/>
          <w:sz w:val="28"/>
          <w:szCs w:val="28"/>
          <w:lang w:val="en-US" w:eastAsia="zh-CN"/>
        </w:rPr>
      </w:pPr>
      <w:r>
        <w:rPr>
          <w:rFonts w:hint="eastAsia"/>
          <w:sz w:val="28"/>
          <w:szCs w:val="28"/>
          <w:lang w:val="en-US" w:eastAsia="zh-CN"/>
        </w:rPr>
        <w:t>（四）优化师资队伍建设</w:t>
      </w:r>
    </w:p>
    <w:p>
      <w:pPr>
        <w:numPr>
          <w:ilvl w:val="0"/>
          <w:numId w:val="0"/>
        </w:numPr>
        <w:ind w:firstLine="560" w:firstLineChars="200"/>
        <w:jc w:val="both"/>
        <w:rPr>
          <w:rFonts w:hint="eastAsia"/>
          <w:sz w:val="28"/>
          <w:szCs w:val="28"/>
          <w:lang w:val="en-US" w:eastAsia="zh-CN"/>
        </w:rPr>
      </w:pPr>
      <w:r>
        <w:rPr>
          <w:rFonts w:hint="eastAsia"/>
          <w:sz w:val="28"/>
          <w:szCs w:val="28"/>
          <w:lang w:val="en-US" w:eastAsia="zh-CN"/>
        </w:rPr>
        <w:t>目前大数据技术和软件技术师资严重不足。两个专业的核心课程授课任务基本全部落在三名教师身上，工作量大，不利于课程授课质量提升。未来三年通过内部培养、外部引进的方式，优化专业群教师队伍结构。</w:t>
      </w:r>
    </w:p>
    <w:p>
      <w:pPr>
        <w:numPr>
          <w:ilvl w:val="0"/>
          <w:numId w:val="7"/>
        </w:numPr>
        <w:ind w:firstLine="560" w:firstLineChars="200"/>
        <w:jc w:val="both"/>
        <w:rPr>
          <w:rFonts w:hint="eastAsia"/>
          <w:sz w:val="28"/>
          <w:szCs w:val="28"/>
          <w:lang w:val="en-US" w:eastAsia="zh-CN"/>
        </w:rPr>
      </w:pPr>
      <w:r>
        <w:rPr>
          <w:rFonts w:hint="eastAsia"/>
          <w:sz w:val="28"/>
          <w:szCs w:val="28"/>
          <w:lang w:val="en-US" w:eastAsia="zh-CN"/>
        </w:rPr>
        <w:t>鼓励教师深入企业学习，参加培训，提升自身能力。鼓励教师获得职业资格证书，以便更好的进行资格证书考试辅导。</w:t>
      </w:r>
    </w:p>
    <w:p>
      <w:pPr>
        <w:numPr>
          <w:ilvl w:val="0"/>
          <w:numId w:val="7"/>
        </w:numPr>
        <w:ind w:firstLine="560" w:firstLineChars="200"/>
        <w:jc w:val="both"/>
        <w:rPr>
          <w:rFonts w:hint="default"/>
          <w:sz w:val="28"/>
          <w:szCs w:val="28"/>
          <w:lang w:val="en-US" w:eastAsia="zh-CN"/>
        </w:rPr>
      </w:pPr>
      <w:r>
        <w:rPr>
          <w:rFonts w:hint="eastAsia"/>
          <w:sz w:val="28"/>
          <w:szCs w:val="28"/>
          <w:lang w:val="en-US" w:eastAsia="zh-CN"/>
        </w:rPr>
        <w:t xml:space="preserve">吸纳其他专业有余力的老师向这两个专业转型。  </w:t>
      </w:r>
    </w:p>
    <w:p>
      <w:pPr>
        <w:numPr>
          <w:ilvl w:val="0"/>
          <w:numId w:val="7"/>
        </w:numPr>
        <w:ind w:firstLine="560" w:firstLineChars="200"/>
        <w:jc w:val="both"/>
        <w:rPr>
          <w:rFonts w:hint="default"/>
          <w:sz w:val="28"/>
          <w:szCs w:val="28"/>
          <w:lang w:val="en-US" w:eastAsia="zh-CN"/>
        </w:rPr>
      </w:pPr>
      <w:r>
        <w:rPr>
          <w:rFonts w:hint="eastAsia"/>
          <w:sz w:val="28"/>
          <w:szCs w:val="28"/>
          <w:lang w:val="en-US" w:eastAsia="zh-CN"/>
        </w:rPr>
        <w:t>聘请行业企业技术专家、高素质专业技术人员来校担任兼职教师。</w:t>
      </w:r>
    </w:p>
    <w:p>
      <w:pPr>
        <w:numPr>
          <w:ilvl w:val="0"/>
          <w:numId w:val="7"/>
        </w:numPr>
        <w:ind w:firstLine="560" w:firstLineChars="200"/>
        <w:jc w:val="both"/>
        <w:rPr>
          <w:rFonts w:hint="default"/>
          <w:sz w:val="28"/>
          <w:szCs w:val="28"/>
          <w:lang w:val="en-US" w:eastAsia="zh-CN"/>
        </w:rPr>
      </w:pPr>
      <w:r>
        <w:rPr>
          <w:rFonts w:hint="eastAsia"/>
          <w:sz w:val="28"/>
          <w:szCs w:val="28"/>
          <w:lang w:val="en-US" w:eastAsia="zh-CN"/>
        </w:rPr>
        <w:t>面向社会招聘有企业工作经验的高学历教师，每年至少两名，为教学团队注入新鲜血液。</w:t>
      </w:r>
    </w:p>
    <w:p>
      <w:pPr>
        <w:numPr>
          <w:numId w:val="0"/>
        </w:numPr>
        <w:ind w:leftChars="200"/>
        <w:jc w:val="both"/>
        <w:rPr>
          <w:rFonts w:hint="eastAsia"/>
          <w:sz w:val="28"/>
          <w:szCs w:val="28"/>
          <w:lang w:val="en-US" w:eastAsia="zh-CN"/>
        </w:rPr>
      </w:pPr>
      <w:r>
        <w:rPr>
          <w:rFonts w:hint="eastAsia"/>
          <w:sz w:val="28"/>
          <w:szCs w:val="28"/>
          <w:lang w:val="en-US" w:eastAsia="zh-CN"/>
        </w:rPr>
        <w:t>（五）完善专业实训条件</w:t>
      </w:r>
    </w:p>
    <w:p>
      <w:pPr>
        <w:numPr>
          <w:numId w:val="0"/>
        </w:numPr>
        <w:ind w:firstLine="560" w:firstLineChars="200"/>
        <w:jc w:val="both"/>
        <w:rPr>
          <w:rFonts w:hint="eastAsia"/>
          <w:sz w:val="28"/>
          <w:szCs w:val="28"/>
          <w:lang w:val="en-US" w:eastAsia="zh-CN"/>
        </w:rPr>
      </w:pPr>
      <w:r>
        <w:rPr>
          <w:rFonts w:hint="eastAsia"/>
          <w:sz w:val="28"/>
          <w:szCs w:val="28"/>
          <w:lang w:val="en-US" w:eastAsia="zh-CN"/>
        </w:rPr>
        <w:t>建设现代信息产业实训中心，加大投入力度，进一步改善实践教学条件。到2024年预计</w:t>
      </w:r>
      <w:r>
        <w:rPr>
          <w:rFonts w:hint="eastAsia"/>
          <w:sz w:val="28"/>
          <w:szCs w:val="28"/>
          <w:lang w:val="en-US" w:eastAsia="zh-CN"/>
        </w:rPr>
        <w:t>设备投资规模：总投资851万元，预计建筑面积1340平方米，培训工位数600个。</w:t>
      </w:r>
    </w:p>
    <w:p>
      <w:pPr>
        <w:numPr>
          <w:ilvl w:val="0"/>
          <w:numId w:val="0"/>
        </w:numPr>
        <w:ind w:firstLine="560" w:firstLineChars="200"/>
        <w:jc w:val="both"/>
        <w:rPr>
          <w:rFonts w:hint="eastAsia"/>
          <w:sz w:val="28"/>
          <w:szCs w:val="28"/>
          <w:lang w:val="en-US" w:eastAsia="zh-CN"/>
        </w:rPr>
      </w:pPr>
      <w:r>
        <w:rPr>
          <w:rFonts w:hint="eastAsia"/>
          <w:sz w:val="28"/>
          <w:szCs w:val="28"/>
          <w:lang w:val="en-US" w:eastAsia="zh-CN"/>
        </w:rPr>
        <w:t>设置软件技术实训单元、大数据实训单元、数字媒体实训单元和物联网应用技术实训单元等4个实训单元；分设动漫设计工作室、视频制作工作室、影视采编实训室、虚拟演播室、物联网项目开发实训室、嵌入式开发实训室、智能家居展示中心、网络系统管理实训室、物联网技术应用实训室、大数据平台维护实训室、大数据综合实训室、计算机程序设计员配训室、软件技术综合实训室、Web 前端开发职业技能培训实训室、软件测试工作室等15个实训室。</w:t>
      </w:r>
    </w:p>
    <w:p>
      <w:pPr>
        <w:numPr>
          <w:ilvl w:val="0"/>
          <w:numId w:val="0"/>
        </w:numPr>
        <w:ind w:firstLine="560" w:firstLineChars="200"/>
        <w:jc w:val="both"/>
        <w:rPr>
          <w:rFonts w:hint="default"/>
          <w:sz w:val="28"/>
          <w:szCs w:val="28"/>
          <w:lang w:val="en-US" w:eastAsia="zh-CN"/>
        </w:rPr>
      </w:pPr>
      <w:r>
        <w:rPr>
          <w:rFonts w:hint="eastAsia"/>
          <w:sz w:val="28"/>
          <w:szCs w:val="28"/>
          <w:lang w:val="en-US" w:eastAsia="zh-CN"/>
        </w:rPr>
        <w:t>主要实训项目有大数据综合实训、大数据平台维护、计算机程序设计员实训、软件技术综合实训、软件测试、web前端开发职业技能实训、物联网系统互联、物联网嵌入式开发、智能家居实训、物联网应用技术职业技能鉴定、影视后期非线性编辑、音视频技术、采编实训、虚拟演播室、虚拟现实VR实训等。</w:t>
      </w:r>
    </w:p>
    <w:p>
      <w:pPr>
        <w:numPr>
          <w:ilvl w:val="0"/>
          <w:numId w:val="0"/>
        </w:numPr>
        <w:jc w:val="center"/>
        <w:rPr>
          <w:rFonts w:hint="default"/>
          <w:sz w:val="24"/>
          <w:szCs w:val="24"/>
          <w:lang w:val="en-US" w:eastAsia="zh-CN"/>
        </w:rPr>
      </w:pPr>
      <w:r>
        <w:rPr>
          <w:rFonts w:hint="eastAsia"/>
          <w:sz w:val="24"/>
          <w:szCs w:val="24"/>
          <w:lang w:val="en-US" w:eastAsia="zh-CN"/>
        </w:rPr>
        <w:t>表2 现代信息产业实训中心建设规划</w:t>
      </w:r>
    </w:p>
    <w:tbl>
      <w:tblPr>
        <w:tblW w:w="81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444"/>
        <w:gridCol w:w="1089"/>
        <w:gridCol w:w="965"/>
        <w:gridCol w:w="2655"/>
        <w:gridCol w:w="911"/>
        <w:gridCol w:w="10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86" w:hRule="atLeast"/>
          <w:jc w:val="center"/>
        </w:trPr>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实训室名称</w:t>
            </w: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建筑面积</w:t>
            </w:r>
            <w:r>
              <w:rPr>
                <w:rFonts w:hint="eastAsia" w:ascii="宋体" w:hAnsi="宋体" w:eastAsia="宋体" w:cs="宋体"/>
                <w:b/>
                <w:bCs/>
                <w:i w:val="0"/>
                <w:iCs w:val="0"/>
                <w:color w:val="000000"/>
                <w:kern w:val="0"/>
                <w:sz w:val="18"/>
                <w:szCs w:val="18"/>
                <w:u w:val="none"/>
                <w:bdr w:val="none" w:color="auto" w:sz="0" w:space="0"/>
                <w:lang w:val="en-US" w:eastAsia="zh-CN" w:bidi="ar"/>
              </w:rPr>
              <w:br w:type="textWrapping"/>
            </w:r>
            <w:r>
              <w:rPr>
                <w:rFonts w:hint="eastAsia" w:ascii="宋体" w:hAnsi="宋体" w:eastAsia="宋体" w:cs="宋体"/>
                <w:b/>
                <w:bCs/>
                <w:i w:val="0"/>
                <w:iCs w:val="0"/>
                <w:color w:val="000000"/>
                <w:kern w:val="0"/>
                <w:sz w:val="18"/>
                <w:szCs w:val="18"/>
                <w:u w:val="none"/>
                <w:bdr w:val="none" w:color="auto" w:sz="0" w:space="0"/>
                <w:lang w:val="en-US" w:eastAsia="zh-CN" w:bidi="ar"/>
              </w:rPr>
              <w:t>（平方米）</w:t>
            </w:r>
          </w:p>
        </w:tc>
        <w:tc>
          <w:tcPr>
            <w:tcW w:w="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bdr w:val="none" w:color="auto" w:sz="0" w:space="0"/>
                <w:lang w:val="en-US" w:eastAsia="zh-CN" w:bidi="ar"/>
              </w:rPr>
            </w:pPr>
            <w:r>
              <w:rPr>
                <w:rFonts w:hint="eastAsia" w:ascii="宋体" w:hAnsi="宋体" w:eastAsia="宋体" w:cs="宋体"/>
                <w:b/>
                <w:bCs/>
                <w:i w:val="0"/>
                <w:iCs w:val="0"/>
                <w:color w:val="000000"/>
                <w:kern w:val="0"/>
                <w:sz w:val="18"/>
                <w:szCs w:val="18"/>
                <w:u w:val="none"/>
                <w:bdr w:val="none" w:color="auto" w:sz="0" w:space="0"/>
                <w:lang w:val="en-US" w:eastAsia="zh-CN" w:bidi="ar"/>
              </w:rPr>
              <w:t>工位数量</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（个）</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实训项目</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计划购置时间</w:t>
            </w:r>
          </w:p>
        </w:tc>
        <w:tc>
          <w:tcPr>
            <w:tcW w:w="10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新建/扩建/升级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3" w:hRule="atLeast"/>
          <w:jc w:val="center"/>
        </w:trPr>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大数据平台维护实训室</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大数据环境搭建</w:t>
            </w:r>
            <w:r>
              <w:rPr>
                <w:rFonts w:hint="eastAsia" w:ascii="宋体" w:hAnsi="宋体" w:cs="宋体"/>
                <w:i w:val="0"/>
                <w:iCs w:val="0"/>
                <w:color w:val="000000"/>
                <w:kern w:val="0"/>
                <w:sz w:val="20"/>
                <w:szCs w:val="20"/>
                <w:u w:val="none"/>
                <w:bdr w:val="none" w:color="auto" w:sz="0" w:space="0"/>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linux系统管理与服务配置</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2022年</w:t>
            </w:r>
          </w:p>
        </w:tc>
        <w:tc>
          <w:tcPr>
            <w:tcW w:w="10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 xml:space="preserve">新建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38" w:hRule="atLeast"/>
          <w:jc w:val="center"/>
        </w:trPr>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大数据综合实训室</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大数据获取、</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大数据清洗、</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大数据分析大数据可视化</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2023年</w:t>
            </w:r>
          </w:p>
        </w:tc>
        <w:tc>
          <w:tcPr>
            <w:tcW w:w="10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 xml:space="preserve">新建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7" w:hRule="atLeast"/>
          <w:jc w:val="center"/>
        </w:trPr>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计算机程序设计员培训室</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计算机程序设计员考前培训</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2022年</w:t>
            </w:r>
          </w:p>
        </w:tc>
        <w:tc>
          <w:tcPr>
            <w:tcW w:w="10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 xml:space="preserve">新建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76" w:hRule="atLeast"/>
          <w:jc w:val="center"/>
        </w:trPr>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软件技术综合实训室</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C语言程序设计、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Java语言程序设、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python语言程序、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数据库应用、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开发环境搭建、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linux操作系统配置</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2022年</w:t>
            </w:r>
          </w:p>
        </w:tc>
        <w:tc>
          <w:tcPr>
            <w:tcW w:w="10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扩建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86" w:hRule="atLeast"/>
          <w:jc w:val="center"/>
        </w:trPr>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Web 前端开发职业技能培训实训室</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Web前端开发、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Spring Boot企业应用、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商业站点开发、</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网页交互特效制作</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2023年</w:t>
            </w:r>
          </w:p>
        </w:tc>
        <w:tc>
          <w:tcPr>
            <w:tcW w:w="10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 xml:space="preserve">新建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91" w:hRule="atLeast"/>
          <w:jc w:val="center"/>
        </w:trPr>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软件测试工作室</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软件系统功能测试、</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软件系统性能测试、</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软件系统自动化测试、</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软件系统白盒测试、</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测试环境配置</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2024年</w:t>
            </w:r>
          </w:p>
        </w:tc>
        <w:tc>
          <w:tcPr>
            <w:tcW w:w="10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 xml:space="preserve">新建 </w:t>
            </w:r>
          </w:p>
        </w:tc>
      </w:tr>
    </w:tbl>
    <w:p>
      <w:pPr>
        <w:numPr>
          <w:ilvl w:val="0"/>
          <w:numId w:val="0"/>
        </w:numPr>
        <w:jc w:val="both"/>
        <w:rPr>
          <w:rFonts w:hint="default"/>
          <w:sz w:val="28"/>
          <w:szCs w:val="28"/>
          <w:lang w:val="en-US" w:eastAsia="zh-CN"/>
        </w:rPr>
      </w:pPr>
    </w:p>
    <w:p>
      <w:pPr>
        <w:jc w:val="center"/>
        <w:rPr>
          <w:rFonts w:hint="default"/>
          <w:sz w:val="28"/>
          <w:szCs w:val="28"/>
          <w:lang w:val="en-US" w:eastAsia="zh-CN"/>
        </w:rPr>
      </w:pPr>
    </w:p>
    <w:p>
      <w:pPr>
        <w:jc w:val="both"/>
        <w:rPr>
          <w:rFonts w:hint="default"/>
          <w:sz w:val="28"/>
          <w:szCs w:val="28"/>
          <w:lang w:val="en-US" w:eastAsia="zh-CN"/>
        </w:rPr>
      </w:pPr>
    </w:p>
    <w:p>
      <w:pPr>
        <w:jc w:val="center"/>
      </w:pPr>
    </w:p>
    <w:p>
      <w:pPr>
        <w:jc w:val="center"/>
      </w:pPr>
    </w:p>
    <w:p>
      <w:pPr>
        <w:jc w:val="both"/>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8B64B5"/>
    <w:multiLevelType w:val="multilevel"/>
    <w:tmpl w:val="138B64B5"/>
    <w:lvl w:ilvl="0" w:tentative="0">
      <w:start w:val="1"/>
      <w:numFmt w:val="chineseCountingThousand"/>
      <w:pStyle w:val="2"/>
      <w:lvlText w:val="第%1章"/>
      <w:lvlJc w:val="left"/>
      <w:pPr>
        <w:tabs>
          <w:tab w:val="left" w:pos="420"/>
        </w:tabs>
        <w:ind w:left="420" w:hanging="420"/>
      </w:pPr>
      <w:rPr>
        <w:rFonts w:hint="eastAsia"/>
      </w:rPr>
    </w:lvl>
    <w:lvl w:ilvl="1" w:tentative="0">
      <w:start w:val="1"/>
      <w:numFmt w:val="decimal"/>
      <w:pStyle w:val="3"/>
      <w:isLgl/>
      <w:lvlText w:val="%1.%2"/>
      <w:lvlJc w:val="left"/>
      <w:pPr>
        <w:tabs>
          <w:tab w:val="left" w:pos="720"/>
        </w:tabs>
        <w:ind w:left="720" w:hanging="720"/>
      </w:pPr>
      <w:rPr>
        <w:rFonts w:hint="eastAsia" w:ascii="Times New Roman" w:hAnsi="Times New Roman"/>
      </w:rPr>
    </w:lvl>
    <w:lvl w:ilvl="2" w:tentative="0">
      <w:start w:val="1"/>
      <w:numFmt w:val="decimal"/>
      <w:pStyle w:val="4"/>
      <w:isLgl/>
      <w:lvlText w:val="%1.%2.%3"/>
      <w:lvlJc w:val="left"/>
      <w:pPr>
        <w:tabs>
          <w:tab w:val="left" w:pos="720"/>
        </w:tabs>
        <w:ind w:left="720" w:hanging="720"/>
      </w:pPr>
      <w:rPr>
        <w:rFonts w:hint="eastAsia" w:ascii="Times New Roman" w:hAnsi="Times New Roman"/>
      </w:rPr>
    </w:lvl>
    <w:lvl w:ilvl="3" w:tentative="0">
      <w:start w:val="1"/>
      <w:numFmt w:val="decimal"/>
      <w:lvlText w:val="(%4)"/>
      <w:lvlJc w:val="left"/>
      <w:pPr>
        <w:tabs>
          <w:tab w:val="left" w:pos="420"/>
        </w:tabs>
        <w:ind w:left="420" w:hanging="420"/>
      </w:pPr>
      <w:rPr>
        <w:rFonts w:hint="eastAsia"/>
        <w:sz w:val="28"/>
        <w:szCs w:val="28"/>
      </w:rPr>
    </w:lvl>
    <w:lvl w:ilvl="4" w:tentative="0">
      <w:start w:val="1"/>
      <w:numFmt w:val="decimal"/>
      <w:lvlText w:val="%1.%2.%3.%4.%5"/>
      <w:lvlJc w:val="left"/>
      <w:pPr>
        <w:tabs>
          <w:tab w:val="left" w:pos="1440"/>
        </w:tabs>
        <w:ind w:left="1440" w:hanging="144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2160"/>
        </w:tabs>
        <w:ind w:left="2160" w:hanging="2160"/>
      </w:pPr>
      <w:rPr>
        <w:rFonts w:hint="eastAsia"/>
      </w:rPr>
    </w:lvl>
    <w:lvl w:ilvl="8" w:tentative="0">
      <w:start w:val="1"/>
      <w:numFmt w:val="decimal"/>
      <w:lvlText w:val="%1.%2.%3.%4.%5.%6.%7.%8.%9"/>
      <w:lvlJc w:val="left"/>
      <w:pPr>
        <w:tabs>
          <w:tab w:val="left" w:pos="2520"/>
        </w:tabs>
        <w:ind w:left="2520" w:hanging="2520"/>
      </w:pPr>
      <w:rPr>
        <w:rFonts w:hint="eastAsia"/>
      </w:rPr>
    </w:lvl>
  </w:abstractNum>
  <w:abstractNum w:abstractNumId="1">
    <w:nsid w:val="40EFC301"/>
    <w:multiLevelType w:val="singleLevel"/>
    <w:tmpl w:val="40EFC301"/>
    <w:lvl w:ilvl="0" w:tentative="0">
      <w:start w:val="1"/>
      <w:numFmt w:val="chineseCounting"/>
      <w:suff w:val="nothing"/>
      <w:lvlText w:val="（%1）"/>
      <w:lvlJc w:val="left"/>
      <w:rPr>
        <w:rFonts w:hint="eastAsia"/>
      </w:rPr>
    </w:lvl>
  </w:abstractNum>
  <w:abstractNum w:abstractNumId="2">
    <w:nsid w:val="619609D6"/>
    <w:multiLevelType w:val="singleLevel"/>
    <w:tmpl w:val="619609D6"/>
    <w:lvl w:ilvl="0" w:tentative="0">
      <w:start w:val="1"/>
      <w:numFmt w:val="decimal"/>
      <w:lvlText w:val="%1."/>
      <w:lvlJc w:val="left"/>
      <w:pPr>
        <w:tabs>
          <w:tab w:val="left" w:pos="312"/>
        </w:tabs>
      </w:pPr>
    </w:lvl>
  </w:abstractNum>
  <w:abstractNum w:abstractNumId="3">
    <w:nsid w:val="6292FC3E"/>
    <w:multiLevelType w:val="singleLevel"/>
    <w:tmpl w:val="6292FC3E"/>
    <w:lvl w:ilvl="0" w:tentative="0">
      <w:start w:val="2"/>
      <w:numFmt w:val="decimal"/>
      <w:lvlText w:val="%1."/>
      <w:lvlJc w:val="left"/>
      <w:pPr>
        <w:tabs>
          <w:tab w:val="left" w:pos="312"/>
        </w:tabs>
      </w:pPr>
    </w:lvl>
  </w:abstractNum>
  <w:abstractNum w:abstractNumId="4">
    <w:nsid w:val="674246CC"/>
    <w:multiLevelType w:val="singleLevel"/>
    <w:tmpl w:val="674246CC"/>
    <w:lvl w:ilvl="0" w:tentative="0">
      <w:start w:val="1"/>
      <w:numFmt w:val="decimal"/>
      <w:lvlText w:val="%1."/>
      <w:lvlJc w:val="left"/>
      <w:pPr>
        <w:tabs>
          <w:tab w:val="left" w:pos="312"/>
        </w:tabs>
      </w:pPr>
    </w:lvl>
  </w:abstractNum>
  <w:abstractNum w:abstractNumId="5">
    <w:nsid w:val="6783D11E"/>
    <w:multiLevelType w:val="singleLevel"/>
    <w:tmpl w:val="6783D11E"/>
    <w:lvl w:ilvl="0" w:tentative="0">
      <w:start w:val="1"/>
      <w:numFmt w:val="chineseCounting"/>
      <w:suff w:val="nothing"/>
      <w:lvlText w:val="%1、"/>
      <w:lvlJc w:val="left"/>
      <w:pPr>
        <w:ind w:left="560" w:leftChars="0" w:firstLine="0" w:firstLineChars="0"/>
      </w:pPr>
      <w:rPr>
        <w:rFonts w:hint="eastAsia"/>
      </w:rPr>
    </w:lvl>
  </w:abstractNum>
  <w:abstractNum w:abstractNumId="6">
    <w:nsid w:val="7C601DF3"/>
    <w:multiLevelType w:val="singleLevel"/>
    <w:tmpl w:val="7C601DF3"/>
    <w:lvl w:ilvl="0" w:tentative="0">
      <w:start w:val="1"/>
      <w:numFmt w:val="chineseCounting"/>
      <w:suff w:val="nothing"/>
      <w:lvlText w:val="（%1）"/>
      <w:lvlJc w:val="left"/>
      <w:rPr>
        <w:rFonts w:hint="eastAsia"/>
      </w:r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CF175C"/>
    <w:rsid w:val="03600692"/>
    <w:rsid w:val="09AD30CF"/>
    <w:rsid w:val="0B445739"/>
    <w:rsid w:val="0BB05DE8"/>
    <w:rsid w:val="0DE56999"/>
    <w:rsid w:val="0F2A24A8"/>
    <w:rsid w:val="1331780E"/>
    <w:rsid w:val="16677553"/>
    <w:rsid w:val="175255CC"/>
    <w:rsid w:val="18A5338C"/>
    <w:rsid w:val="197519B2"/>
    <w:rsid w:val="1A514E21"/>
    <w:rsid w:val="1BA76551"/>
    <w:rsid w:val="1E5D2262"/>
    <w:rsid w:val="1F792701"/>
    <w:rsid w:val="222B7CF3"/>
    <w:rsid w:val="2A8062CA"/>
    <w:rsid w:val="2D676C9C"/>
    <w:rsid w:val="2DA74F8B"/>
    <w:rsid w:val="2DD37569"/>
    <w:rsid w:val="310561FD"/>
    <w:rsid w:val="31274F97"/>
    <w:rsid w:val="31B16024"/>
    <w:rsid w:val="344C167E"/>
    <w:rsid w:val="347D02E6"/>
    <w:rsid w:val="36322D6F"/>
    <w:rsid w:val="368479FC"/>
    <w:rsid w:val="39984F09"/>
    <w:rsid w:val="39B07730"/>
    <w:rsid w:val="3A3B5295"/>
    <w:rsid w:val="3AE42C8C"/>
    <w:rsid w:val="3F360C3B"/>
    <w:rsid w:val="40DD016D"/>
    <w:rsid w:val="444F0775"/>
    <w:rsid w:val="451A3971"/>
    <w:rsid w:val="46B0147B"/>
    <w:rsid w:val="46FC153F"/>
    <w:rsid w:val="49197552"/>
    <w:rsid w:val="4E115B60"/>
    <w:rsid w:val="4E9E163B"/>
    <w:rsid w:val="4EA53DD6"/>
    <w:rsid w:val="4EC6075D"/>
    <w:rsid w:val="4F1A16CD"/>
    <w:rsid w:val="52011574"/>
    <w:rsid w:val="520C682E"/>
    <w:rsid w:val="525B34C0"/>
    <w:rsid w:val="53EF5EF0"/>
    <w:rsid w:val="55112D79"/>
    <w:rsid w:val="58AB5080"/>
    <w:rsid w:val="5909652F"/>
    <w:rsid w:val="59CF175C"/>
    <w:rsid w:val="5A3E107A"/>
    <w:rsid w:val="5B2814BC"/>
    <w:rsid w:val="5BB57FC4"/>
    <w:rsid w:val="5DDD16E6"/>
    <w:rsid w:val="5F272DB2"/>
    <w:rsid w:val="61757DDB"/>
    <w:rsid w:val="66EE54B1"/>
    <w:rsid w:val="68FC334A"/>
    <w:rsid w:val="6905263B"/>
    <w:rsid w:val="694105EE"/>
    <w:rsid w:val="69621AD6"/>
    <w:rsid w:val="697B1C0E"/>
    <w:rsid w:val="6C210E8A"/>
    <w:rsid w:val="6D000F95"/>
    <w:rsid w:val="6E4C58AD"/>
    <w:rsid w:val="6E852F72"/>
    <w:rsid w:val="6F123FC1"/>
    <w:rsid w:val="6F5C3579"/>
    <w:rsid w:val="6FE46DF0"/>
    <w:rsid w:val="706C0A45"/>
    <w:rsid w:val="73520F5F"/>
    <w:rsid w:val="738D0FC8"/>
    <w:rsid w:val="74307C36"/>
    <w:rsid w:val="76AD637F"/>
    <w:rsid w:val="77147E3D"/>
    <w:rsid w:val="77FF5913"/>
    <w:rsid w:val="7952721F"/>
    <w:rsid w:val="79575176"/>
    <w:rsid w:val="7A853E1E"/>
    <w:rsid w:val="7BB75C1A"/>
    <w:rsid w:val="7D910439"/>
    <w:rsid w:val="7E8F78A8"/>
    <w:rsid w:val="7F477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2"/>
      <w:lang w:val="en-US" w:eastAsia="zh-CN" w:bidi="ar-SA"/>
    </w:rPr>
  </w:style>
  <w:style w:type="paragraph" w:styleId="2">
    <w:name w:val="heading 1"/>
    <w:basedOn w:val="1"/>
    <w:next w:val="1"/>
    <w:qFormat/>
    <w:uiPriority w:val="0"/>
    <w:pPr>
      <w:keepNext/>
      <w:keepLines/>
      <w:numPr>
        <w:ilvl w:val="0"/>
        <w:numId w:val="1"/>
      </w:numPr>
      <w:spacing w:before="340" w:after="330" w:line="360" w:lineRule="exact"/>
      <w:jc w:val="center"/>
      <w:outlineLvl w:val="0"/>
    </w:pPr>
    <w:rPr>
      <w:rFonts w:ascii="Times New Roman" w:hAnsi="Times New Roman" w:eastAsia="黑体" w:cs="Times New Roman"/>
      <w:b/>
      <w:color w:val="000000"/>
      <w:kern w:val="44"/>
      <w:sz w:val="36"/>
      <w:szCs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ind w:left="720" w:hanging="720"/>
      <w:outlineLvl w:val="1"/>
    </w:pPr>
    <w:rPr>
      <w:rFonts w:ascii="Arial" w:hAnsi="Arial" w:eastAsia="宋体" w:cs="Times New Roman"/>
      <w:b/>
      <w:sz w:val="24"/>
      <w:szCs w:val="2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720" w:hanging="720"/>
      <w:outlineLvl w:val="2"/>
    </w:pPr>
    <w:rPr>
      <w:b/>
      <w:sz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1"/>
    <w:pPr>
      <w:ind w:left="100" w:hanging="703"/>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2022-03-02T00:27:00Z</dcterms:created>
  <dc:creator>火凤凰</dc:creator>
  <cp:lastModifiedBy>火凤凰</cp:lastModifiedBy>
  <dcterms:modified xsi:type="dcterms:W3CDTF">2022-03-06T15:21:50Z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BCB4D3CFD96446148C2AF2A650EAF4CE</vt:lpwstr>
  </property>
</Properties>
</file>